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66624F" w:rsidRPr="004023A0" w14:paraId="60B7B2C2" w14:textId="77777777" w:rsidTr="00E24224">
        <w:tc>
          <w:tcPr>
            <w:tcW w:w="4788" w:type="dxa"/>
            <w:shd w:val="clear" w:color="auto" w:fill="auto"/>
          </w:tcPr>
          <w:p w14:paraId="6540BF57" w14:textId="77777777" w:rsidR="0066624F" w:rsidRPr="004023A0" w:rsidRDefault="0066624F" w:rsidP="00E24224">
            <w:pPr>
              <w:tabs>
                <w:tab w:val="right" w:pos="8424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023A0">
              <w:rPr>
                <w:rFonts w:ascii="Palatino Linotype" w:hAnsi="Palatino Linotype"/>
                <w:sz w:val="20"/>
                <w:szCs w:val="20"/>
              </w:rPr>
              <w:t>University of Washington</w:t>
            </w:r>
          </w:p>
          <w:p w14:paraId="7FF94864" w14:textId="77777777" w:rsidR="0066624F" w:rsidRPr="004023A0" w:rsidRDefault="0066624F" w:rsidP="00E24224">
            <w:pPr>
              <w:tabs>
                <w:tab w:val="right" w:pos="8424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023A0">
              <w:rPr>
                <w:rFonts w:ascii="Palatino Linotype" w:hAnsi="Palatino Linotype"/>
                <w:sz w:val="20"/>
                <w:szCs w:val="20"/>
              </w:rPr>
              <w:t>Foster School of Business</w:t>
            </w:r>
          </w:p>
          <w:p w14:paraId="52CAD119" w14:textId="1025CD6E" w:rsidR="003F28B8" w:rsidRPr="004023A0" w:rsidRDefault="0066624F" w:rsidP="003F28B8">
            <w:pPr>
              <w:tabs>
                <w:tab w:val="right" w:pos="8424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023A0">
              <w:rPr>
                <w:rFonts w:ascii="Palatino Linotype" w:hAnsi="Palatino Linotype"/>
                <w:sz w:val="20"/>
                <w:szCs w:val="20"/>
              </w:rPr>
              <w:t>Paccar Hall</w:t>
            </w:r>
            <w:r w:rsidR="003F28B8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4023A0">
              <w:rPr>
                <w:rFonts w:ascii="Palatino Linotype" w:hAnsi="Palatino Linotype"/>
                <w:sz w:val="20"/>
                <w:szCs w:val="20"/>
              </w:rPr>
              <w:t>Seattle, WA 98195</w:t>
            </w:r>
          </w:p>
        </w:tc>
        <w:tc>
          <w:tcPr>
            <w:tcW w:w="4860" w:type="dxa"/>
            <w:shd w:val="clear" w:color="auto" w:fill="auto"/>
          </w:tcPr>
          <w:p w14:paraId="49C48F5D" w14:textId="77777777" w:rsidR="0066624F" w:rsidRPr="004023A0" w:rsidRDefault="0066624F" w:rsidP="00E24224">
            <w:pPr>
              <w:tabs>
                <w:tab w:val="left" w:pos="2592"/>
                <w:tab w:val="right" w:pos="8424"/>
              </w:tabs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  <w:p w14:paraId="14BCB01D" w14:textId="02A7355E" w:rsidR="0066624F" w:rsidRPr="004023A0" w:rsidRDefault="0066624F" w:rsidP="00E24224">
            <w:pPr>
              <w:tabs>
                <w:tab w:val="left" w:pos="2592"/>
                <w:tab w:val="right" w:pos="8424"/>
              </w:tabs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  <w:p w14:paraId="25BD0D65" w14:textId="7FA0F37C" w:rsidR="0066624F" w:rsidRPr="004023A0" w:rsidRDefault="0066624F" w:rsidP="0066624F">
            <w:pPr>
              <w:tabs>
                <w:tab w:val="right" w:pos="8424"/>
              </w:tabs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172"/>
      </w:tblGrid>
      <w:tr w:rsidR="0066624F" w:rsidRPr="004023A0" w14:paraId="787D16E4" w14:textId="77777777" w:rsidTr="00E24224">
        <w:trPr>
          <w:trHeight w:val="1557"/>
        </w:trPr>
        <w:tc>
          <w:tcPr>
            <w:tcW w:w="1638" w:type="dxa"/>
          </w:tcPr>
          <w:p w14:paraId="025198DE" w14:textId="77777777" w:rsidR="0066624F" w:rsidRDefault="0066624F" w:rsidP="00E24224">
            <w:pPr>
              <w:spacing w:before="360"/>
              <w:rPr>
                <w:rFonts w:ascii="Palatino Linotype" w:hAnsi="Palatino Linotype"/>
                <w:b/>
                <w:small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mallCaps/>
                <w:sz w:val="20"/>
                <w:szCs w:val="20"/>
              </w:rPr>
              <w:t>Academic Appointments</w:t>
            </w:r>
          </w:p>
          <w:p w14:paraId="0F622EB4" w14:textId="77777777" w:rsidR="0066624F" w:rsidRPr="004023A0" w:rsidRDefault="0066624F" w:rsidP="00E24224">
            <w:pPr>
              <w:spacing w:before="360"/>
              <w:rPr>
                <w:rFonts w:ascii="Palatino Linotype" w:hAnsi="Palatino Linotype"/>
                <w:b/>
                <w:small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mallCaps/>
                <w:sz w:val="20"/>
                <w:szCs w:val="20"/>
              </w:rPr>
              <w:t xml:space="preserve">                            </w:t>
            </w:r>
            <w:r w:rsidRPr="004023A0">
              <w:rPr>
                <w:rFonts w:ascii="Palatino Linotype" w:hAnsi="Palatino Linotype"/>
                <w:b/>
                <w:smallCaps/>
                <w:sz w:val="20"/>
                <w:szCs w:val="20"/>
              </w:rPr>
              <w:t>Education and certifications</w:t>
            </w:r>
          </w:p>
        </w:tc>
        <w:tc>
          <w:tcPr>
            <w:tcW w:w="8172" w:type="dxa"/>
          </w:tcPr>
          <w:p w14:paraId="44A66FC2" w14:textId="77777777" w:rsidR="0066624F" w:rsidRPr="004023A0" w:rsidRDefault="0066624F" w:rsidP="00E2422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401A3114" w14:textId="77777777" w:rsidR="0066624F" w:rsidRDefault="0066624F" w:rsidP="00E2422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47D9B0AB" w14:textId="76DFDE0D" w:rsidR="0066624F" w:rsidRPr="004023A0" w:rsidRDefault="0066624F" w:rsidP="00E2422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Assistant Professor - University of Washington, </w:t>
            </w:r>
            <w:r w:rsidR="00CE56A7">
              <w:rPr>
                <w:rFonts w:ascii="Palatino Linotype" w:hAnsi="Palatino Linotype"/>
                <w:sz w:val="20"/>
                <w:szCs w:val="20"/>
              </w:rPr>
              <w:t xml:space="preserve">July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2015-present </w:t>
            </w:r>
            <w:r w:rsidR="004D2786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     </w:t>
            </w:r>
            <w:proofErr w:type="gramStart"/>
            <w:r w:rsidR="004D2786">
              <w:rPr>
                <w:rFonts w:ascii="Palatino Linotype" w:hAnsi="Palatino Linotype"/>
                <w:sz w:val="20"/>
                <w:szCs w:val="20"/>
              </w:rPr>
              <w:t xml:space="preserve">   (</w:t>
            </w:r>
            <w:proofErr w:type="gramEnd"/>
            <w:r w:rsidR="004D2786">
              <w:rPr>
                <w:rFonts w:ascii="Palatino Linotype" w:hAnsi="Palatino Linotype"/>
                <w:sz w:val="20"/>
                <w:szCs w:val="20"/>
              </w:rPr>
              <w:t xml:space="preserve">granted </w:t>
            </w:r>
            <w:r w:rsidR="00044B5E">
              <w:rPr>
                <w:rFonts w:ascii="Palatino Linotype" w:hAnsi="Palatino Linotype"/>
                <w:sz w:val="20"/>
                <w:szCs w:val="20"/>
              </w:rPr>
              <w:t>3</w:t>
            </w:r>
            <w:r w:rsidR="004D2786">
              <w:rPr>
                <w:rFonts w:ascii="Palatino Linotype" w:hAnsi="Palatino Linotype"/>
                <w:sz w:val="20"/>
                <w:szCs w:val="20"/>
              </w:rPr>
              <w:t xml:space="preserve"> years extension</w:t>
            </w:r>
            <w:r w:rsidR="00CE56A7">
              <w:rPr>
                <w:rFonts w:ascii="Palatino Linotype" w:hAnsi="Palatino Linotype"/>
                <w:sz w:val="20"/>
                <w:szCs w:val="20"/>
              </w:rPr>
              <w:t xml:space="preserve"> for tenure</w:t>
            </w:r>
            <w:r w:rsidR="004D2786">
              <w:rPr>
                <w:rFonts w:ascii="Palatino Linotype" w:hAnsi="Palatino Linotype"/>
                <w:sz w:val="20"/>
                <w:szCs w:val="20"/>
              </w:rPr>
              <w:t>)</w:t>
            </w:r>
          </w:p>
          <w:p w14:paraId="055B7940" w14:textId="77777777" w:rsidR="0066624F" w:rsidRDefault="0066624F" w:rsidP="00E2422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5C85CCA9" w14:textId="77777777" w:rsidR="003F28B8" w:rsidRDefault="003F28B8" w:rsidP="00E2422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5A5066C5" w14:textId="7DCA7F62" w:rsidR="0066624F" w:rsidRPr="004023A0" w:rsidRDefault="0066624F" w:rsidP="00E2422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4023A0">
              <w:rPr>
                <w:rFonts w:ascii="Palatino Linotype" w:hAnsi="Palatino Linotype"/>
                <w:sz w:val="20"/>
                <w:szCs w:val="20"/>
              </w:rPr>
              <w:t>Ph.D., Accounting - University of Arizona, 2015</w:t>
            </w:r>
          </w:p>
          <w:p w14:paraId="598369CF" w14:textId="77777777" w:rsidR="0066624F" w:rsidRPr="004023A0" w:rsidRDefault="0066624F" w:rsidP="00E2422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023A0">
              <w:rPr>
                <w:rFonts w:ascii="Palatino Linotype" w:hAnsi="Palatino Linotype"/>
                <w:sz w:val="20"/>
                <w:szCs w:val="20"/>
              </w:rPr>
              <w:t>MAcc</w:t>
            </w:r>
            <w:proofErr w:type="spellEnd"/>
            <w:r w:rsidRPr="004023A0">
              <w:rPr>
                <w:rFonts w:ascii="Palatino Linotype" w:hAnsi="Palatino Linotype"/>
                <w:sz w:val="20"/>
                <w:szCs w:val="20"/>
              </w:rPr>
              <w:t xml:space="preserve"> - The Ohio State University, 2005</w:t>
            </w:r>
          </w:p>
          <w:p w14:paraId="217F06AA" w14:textId="77777777" w:rsidR="0066624F" w:rsidRPr="004023A0" w:rsidRDefault="0066624F" w:rsidP="00E2422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4023A0">
              <w:rPr>
                <w:rFonts w:ascii="Palatino Linotype" w:hAnsi="Palatino Linotype"/>
                <w:sz w:val="20"/>
                <w:szCs w:val="20"/>
              </w:rPr>
              <w:t>B.S.B.A., Accounting - Drake University, 2004</w:t>
            </w:r>
          </w:p>
          <w:p w14:paraId="212F60C8" w14:textId="77777777" w:rsidR="0066624F" w:rsidRPr="004023A0" w:rsidRDefault="0066624F" w:rsidP="00E2422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4023A0">
              <w:rPr>
                <w:rFonts w:ascii="Palatino Linotype" w:hAnsi="Palatino Linotype"/>
                <w:sz w:val="20"/>
                <w:szCs w:val="20"/>
              </w:rPr>
              <w:t>Certified Public Accountant (inactive), Iowa, 2005</w:t>
            </w:r>
          </w:p>
          <w:p w14:paraId="31A094E6" w14:textId="77777777" w:rsidR="0066624F" w:rsidRPr="004023A0" w:rsidRDefault="0066624F" w:rsidP="00E24224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4023A0">
              <w:rPr>
                <w:rFonts w:ascii="Palatino Linotype" w:hAnsi="Palatino Linotype"/>
                <w:sz w:val="20"/>
                <w:szCs w:val="20"/>
              </w:rPr>
              <w:t>Certified Management Accountant (inactive), Iowa, 2007</w:t>
            </w:r>
          </w:p>
        </w:tc>
      </w:tr>
      <w:tr w:rsidR="0066624F" w:rsidRPr="004023A0" w14:paraId="0A4EF031" w14:textId="77777777" w:rsidTr="001662E9">
        <w:trPr>
          <w:trHeight w:val="4806"/>
        </w:trPr>
        <w:tc>
          <w:tcPr>
            <w:tcW w:w="1638" w:type="dxa"/>
          </w:tcPr>
          <w:p w14:paraId="71E412C6" w14:textId="77777777" w:rsidR="0066624F" w:rsidRPr="004023A0" w:rsidRDefault="00DA7023" w:rsidP="00E24224">
            <w:pPr>
              <w:spacing w:before="360"/>
              <w:rPr>
                <w:rFonts w:ascii="Palatino Linotype" w:hAnsi="Palatino Linotype"/>
                <w:b/>
                <w:small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mallCaps/>
                <w:sz w:val="20"/>
                <w:szCs w:val="20"/>
              </w:rPr>
              <w:t>Peer-r</w:t>
            </w:r>
            <w:r w:rsidR="0066624F">
              <w:rPr>
                <w:rFonts w:ascii="Palatino Linotype" w:hAnsi="Palatino Linotype"/>
                <w:b/>
                <w:smallCaps/>
                <w:sz w:val="20"/>
                <w:szCs w:val="20"/>
              </w:rPr>
              <w:t xml:space="preserve">eviewed </w:t>
            </w:r>
            <w:r>
              <w:rPr>
                <w:rFonts w:ascii="Palatino Linotype" w:hAnsi="Palatino Linotype"/>
                <w:b/>
                <w:smallCaps/>
                <w:sz w:val="20"/>
                <w:szCs w:val="20"/>
              </w:rPr>
              <w:t>p</w:t>
            </w:r>
            <w:r w:rsidR="0066624F" w:rsidRPr="004023A0">
              <w:rPr>
                <w:rFonts w:ascii="Palatino Linotype" w:hAnsi="Palatino Linotype"/>
                <w:b/>
                <w:smallCaps/>
                <w:sz w:val="20"/>
                <w:szCs w:val="20"/>
              </w:rPr>
              <w:t>ublications</w:t>
            </w:r>
          </w:p>
        </w:tc>
        <w:tc>
          <w:tcPr>
            <w:tcW w:w="8172" w:type="dxa"/>
          </w:tcPr>
          <w:p w14:paraId="3672BC2D" w14:textId="77777777" w:rsidR="002D22DF" w:rsidRDefault="002D22DF" w:rsidP="002D22D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10CF4C31" w14:textId="77777777" w:rsidR="002D22DF" w:rsidRDefault="002D22DF" w:rsidP="002D22D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42B2667A" w14:textId="77777777" w:rsidR="002D22DF" w:rsidRDefault="002D22DF" w:rsidP="002D22D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3F28B8">
              <w:rPr>
                <w:rFonts w:ascii="Palatino Linotype" w:hAnsi="Palatino Linotype"/>
                <w:sz w:val="20"/>
                <w:szCs w:val="20"/>
              </w:rPr>
              <w:t>“Financial Disclosure Transparency and Employee Wages” with John (</w:t>
            </w:r>
            <w:proofErr w:type="spellStart"/>
            <w:r w:rsidRPr="003F28B8">
              <w:rPr>
                <w:rFonts w:ascii="Palatino Linotype" w:hAnsi="Palatino Linotype"/>
                <w:sz w:val="20"/>
                <w:szCs w:val="20"/>
              </w:rPr>
              <w:t>Jianqiu</w:t>
            </w:r>
            <w:proofErr w:type="spellEnd"/>
            <w:r w:rsidRPr="003F28B8">
              <w:rPr>
                <w:rFonts w:ascii="Palatino Linotype" w:hAnsi="Palatino Linotype"/>
                <w:sz w:val="20"/>
                <w:szCs w:val="20"/>
              </w:rPr>
              <w:t>) Bai and Matthew Serfling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>The Financial Review</w:t>
            </w:r>
            <w:r>
              <w:rPr>
                <w:rFonts w:ascii="Palatino Linotype" w:hAnsi="Palatino Linotype"/>
                <w:sz w:val="20"/>
                <w:szCs w:val="20"/>
              </w:rPr>
              <w:t>, forthcoming.</w:t>
            </w:r>
          </w:p>
          <w:p w14:paraId="441E8BED" w14:textId="77777777" w:rsidR="002D22DF" w:rsidRDefault="002D22DF" w:rsidP="002D22D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45E4C4DB" w14:textId="51123F98" w:rsidR="00044B5E" w:rsidRPr="00044B5E" w:rsidRDefault="00044B5E" w:rsidP="002D22D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E39E7">
              <w:rPr>
                <w:rFonts w:ascii="Palatino Linotype" w:hAnsi="Palatino Linotype"/>
                <w:sz w:val="20"/>
                <w:szCs w:val="20"/>
              </w:rPr>
              <w:t>“Geographic Peer Effects in Managerial Earnings Forecasts” with Dawn Matsumoto and Matthew Serfling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>Contemporary Accounting Research</w:t>
            </w:r>
            <w:r>
              <w:rPr>
                <w:rFonts w:ascii="Palatino Linotype" w:hAnsi="Palatino Linotype"/>
                <w:sz w:val="20"/>
                <w:szCs w:val="20"/>
              </w:rPr>
              <w:t>, forthcoming.</w:t>
            </w:r>
          </w:p>
          <w:p w14:paraId="1760D760" w14:textId="4EBE8309" w:rsidR="004E7FA5" w:rsidRPr="003F28B8" w:rsidRDefault="004E7FA5" w:rsidP="004E7FA5">
            <w:pPr>
              <w:spacing w:before="36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“Economic Downturns and the Informativeness of Management Earnings Forecasts” </w:t>
            </w:r>
            <w:r w:rsidRPr="003F28B8">
              <w:rPr>
                <w:rFonts w:ascii="Palatino Linotype" w:hAnsi="Palatino Linotype"/>
                <w:sz w:val="20"/>
                <w:szCs w:val="20"/>
              </w:rPr>
              <w:t>with David Maslar and Matthew Serfling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4E7FA5">
              <w:rPr>
                <w:rFonts w:ascii="Palatino Linotype" w:hAnsi="Palatino Linotype"/>
                <w:i/>
                <w:iCs/>
                <w:sz w:val="20"/>
                <w:szCs w:val="20"/>
              </w:rPr>
              <w:t>Journal of Accounting Research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044B5E">
              <w:rPr>
                <w:rFonts w:ascii="Palatino Linotype" w:hAnsi="Palatino Linotype"/>
                <w:sz w:val="20"/>
                <w:szCs w:val="20"/>
              </w:rPr>
              <w:t>2021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55B13023" w14:textId="387D4B1E" w:rsidR="0066624F" w:rsidRPr="004023A0" w:rsidRDefault="0066624F" w:rsidP="00E24224">
            <w:pPr>
              <w:spacing w:before="360"/>
              <w:rPr>
                <w:rFonts w:ascii="Palatino Linotype" w:hAnsi="Palatino Linotype"/>
                <w:sz w:val="20"/>
                <w:szCs w:val="20"/>
              </w:rPr>
            </w:pPr>
            <w:r w:rsidRPr="004023A0">
              <w:rPr>
                <w:rFonts w:ascii="Palatino Linotype" w:hAnsi="Palatino Linotype"/>
                <w:sz w:val="20"/>
                <w:szCs w:val="20"/>
              </w:rPr>
              <w:t>“CEO Turnovers and Disruptions in Customer-Supplier Relationships”</w:t>
            </w:r>
            <w:r w:rsidRPr="004023A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4023A0">
              <w:rPr>
                <w:rFonts w:ascii="Palatino Linotype" w:hAnsi="Palatino Linotype"/>
                <w:sz w:val="20"/>
                <w:szCs w:val="20"/>
              </w:rPr>
              <w:t xml:space="preserve">with                  Vincent Intintoli and Matthew Serfling. </w:t>
            </w:r>
            <w:r w:rsidRPr="004023A0">
              <w:rPr>
                <w:rFonts w:ascii="Palatino Linotype" w:hAnsi="Palatino Linotype"/>
                <w:i/>
                <w:sz w:val="20"/>
                <w:szCs w:val="20"/>
              </w:rPr>
              <w:t>Journal of Financial and Quantitative Analysis</w:t>
            </w:r>
            <w:r w:rsidRPr="004023A0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sz w:val="20"/>
                <w:szCs w:val="20"/>
              </w:rPr>
              <w:t>2017</w:t>
            </w:r>
            <w:r w:rsidRPr="004023A0">
              <w:rPr>
                <w:rFonts w:ascii="Palatino Linotype" w:hAnsi="Palatino Linotype"/>
                <w:sz w:val="20"/>
                <w:szCs w:val="20"/>
              </w:rPr>
              <w:t xml:space="preserve">.                                                                                             </w:t>
            </w:r>
          </w:p>
          <w:p w14:paraId="09909273" w14:textId="77777777" w:rsidR="0066624F" w:rsidRPr="004023A0" w:rsidRDefault="0066624F" w:rsidP="00E24224">
            <w:pPr>
              <w:spacing w:before="360"/>
              <w:rPr>
                <w:rFonts w:ascii="Palatino Linotype" w:hAnsi="Palatino Linotype"/>
                <w:sz w:val="20"/>
                <w:szCs w:val="20"/>
              </w:rPr>
            </w:pPr>
            <w:r w:rsidRPr="004023A0">
              <w:rPr>
                <w:rFonts w:ascii="Palatino Linotype" w:hAnsi="Palatino Linotype"/>
                <w:sz w:val="20"/>
                <w:szCs w:val="20"/>
              </w:rPr>
              <w:t xml:space="preserve">“Customer Concentration Risk and the Cost of Equity Capital” with Dan Dhaliwal,     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     </w:t>
            </w:r>
            <w:r w:rsidRPr="004023A0">
              <w:rPr>
                <w:rFonts w:ascii="Palatino Linotype" w:hAnsi="Palatino Linotype"/>
                <w:sz w:val="20"/>
                <w:szCs w:val="20"/>
              </w:rPr>
              <w:t xml:space="preserve"> J. Scott Judd, and Matthew Serfling. </w:t>
            </w:r>
            <w:r w:rsidRPr="004023A0">
              <w:rPr>
                <w:rFonts w:ascii="Palatino Linotype" w:hAnsi="Palatino Linotype"/>
                <w:i/>
                <w:sz w:val="20"/>
                <w:szCs w:val="20"/>
              </w:rPr>
              <w:t>Journal of Accounting and Economics</w:t>
            </w:r>
            <w:r w:rsidRPr="004023A0">
              <w:rPr>
                <w:rFonts w:ascii="Palatino Linotype" w:hAnsi="Palatino Linotype"/>
                <w:sz w:val="20"/>
                <w:szCs w:val="20"/>
              </w:rPr>
              <w:t>, 2016.</w:t>
            </w:r>
          </w:p>
        </w:tc>
      </w:tr>
      <w:tr w:rsidR="0066624F" w:rsidRPr="004023A0" w14:paraId="183C489C" w14:textId="77777777" w:rsidTr="001662E9">
        <w:trPr>
          <w:trHeight w:val="60"/>
        </w:trPr>
        <w:tc>
          <w:tcPr>
            <w:tcW w:w="1638" w:type="dxa"/>
          </w:tcPr>
          <w:p w14:paraId="116133F0" w14:textId="206EF353" w:rsidR="0066624F" w:rsidRPr="00BE39E7" w:rsidRDefault="0066624F" w:rsidP="00622A93">
            <w:pPr>
              <w:pStyle w:val="NoSpacing"/>
            </w:pPr>
          </w:p>
        </w:tc>
        <w:tc>
          <w:tcPr>
            <w:tcW w:w="8172" w:type="dxa"/>
          </w:tcPr>
          <w:p w14:paraId="21676FE4" w14:textId="118AF62E" w:rsidR="00044B5E" w:rsidRPr="00622A93" w:rsidRDefault="00044B5E" w:rsidP="00622A93">
            <w:pPr>
              <w:pStyle w:val="NoSpacing"/>
            </w:pPr>
          </w:p>
        </w:tc>
      </w:tr>
      <w:tr w:rsidR="0066624F" w:rsidRPr="004023A0" w14:paraId="4F749522" w14:textId="77777777" w:rsidTr="00E24224">
        <w:trPr>
          <w:trHeight w:val="1305"/>
        </w:trPr>
        <w:tc>
          <w:tcPr>
            <w:tcW w:w="1638" w:type="dxa"/>
          </w:tcPr>
          <w:p w14:paraId="5BBA46C9" w14:textId="77777777" w:rsidR="0066624F" w:rsidRPr="004023A0" w:rsidRDefault="00DA7023" w:rsidP="00E24224">
            <w:pPr>
              <w:spacing w:before="360"/>
              <w:rPr>
                <w:rFonts w:ascii="Palatino Linotype" w:hAnsi="Palatino Linotype"/>
                <w:b/>
                <w:smallCaps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b/>
                <w:smallCaps/>
                <w:sz w:val="20"/>
                <w:szCs w:val="20"/>
              </w:rPr>
              <w:t>N</w:t>
            </w:r>
            <w:r w:rsidR="0066624F">
              <w:rPr>
                <w:rFonts w:ascii="Palatino Linotype" w:hAnsi="Palatino Linotype"/>
                <w:b/>
                <w:smallCaps/>
                <w:sz w:val="20"/>
                <w:szCs w:val="20"/>
              </w:rPr>
              <w:t xml:space="preserve">on </w:t>
            </w:r>
            <w:r>
              <w:rPr>
                <w:rFonts w:ascii="Palatino Linotype" w:hAnsi="Palatino Linotype"/>
                <w:b/>
                <w:smallCaps/>
                <w:sz w:val="20"/>
                <w:szCs w:val="20"/>
              </w:rPr>
              <w:t>peer</w:t>
            </w:r>
            <w:proofErr w:type="gramEnd"/>
            <w:r>
              <w:rPr>
                <w:rFonts w:ascii="Palatino Linotype" w:hAnsi="Palatino Linotype"/>
                <w:b/>
                <w:smallCaps/>
                <w:sz w:val="20"/>
                <w:szCs w:val="20"/>
              </w:rPr>
              <w:t>-r</w:t>
            </w:r>
            <w:r w:rsidR="0066624F">
              <w:rPr>
                <w:rFonts w:ascii="Palatino Linotype" w:hAnsi="Palatino Linotype"/>
                <w:b/>
                <w:smallCaps/>
                <w:sz w:val="20"/>
                <w:szCs w:val="20"/>
              </w:rPr>
              <w:t xml:space="preserve">eviewed </w:t>
            </w:r>
            <w:r>
              <w:rPr>
                <w:rFonts w:ascii="Palatino Linotype" w:hAnsi="Palatino Linotype"/>
                <w:b/>
                <w:smallCaps/>
                <w:sz w:val="20"/>
                <w:szCs w:val="20"/>
              </w:rPr>
              <w:t>p</w:t>
            </w:r>
            <w:r w:rsidR="0066624F" w:rsidRPr="004023A0">
              <w:rPr>
                <w:rFonts w:ascii="Palatino Linotype" w:hAnsi="Palatino Linotype"/>
                <w:b/>
                <w:smallCaps/>
                <w:sz w:val="20"/>
                <w:szCs w:val="20"/>
              </w:rPr>
              <w:t>ublications</w:t>
            </w:r>
          </w:p>
        </w:tc>
        <w:tc>
          <w:tcPr>
            <w:tcW w:w="8172" w:type="dxa"/>
          </w:tcPr>
          <w:p w14:paraId="44C041C3" w14:textId="77777777" w:rsidR="001662E9" w:rsidRDefault="001662E9" w:rsidP="001662E9">
            <w:pPr>
              <w:pStyle w:val="NoSpacing"/>
            </w:pPr>
          </w:p>
          <w:p w14:paraId="143A7D1E" w14:textId="4BC19E68" w:rsidR="0066624F" w:rsidRPr="001662E9" w:rsidRDefault="0066624F" w:rsidP="001662E9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1662E9">
              <w:rPr>
                <w:rFonts w:ascii="Palatino Linotype" w:hAnsi="Palatino Linotype"/>
                <w:sz w:val="20"/>
                <w:szCs w:val="20"/>
              </w:rPr>
              <w:t xml:space="preserve">“Discussion of “When does The Peer Information Environment Matter?” with                  Dawn Matsumoto. </w:t>
            </w:r>
            <w:r w:rsidRPr="001662E9">
              <w:rPr>
                <w:rFonts w:ascii="Palatino Linotype" w:hAnsi="Palatino Linotype"/>
                <w:i/>
                <w:sz w:val="20"/>
                <w:szCs w:val="20"/>
              </w:rPr>
              <w:t>Journal of Accounting and Economics</w:t>
            </w:r>
            <w:r w:rsidR="001662E9" w:rsidRPr="001662E9">
              <w:rPr>
                <w:rFonts w:ascii="Palatino Linotype" w:hAnsi="Palatino Linotype"/>
                <w:sz w:val="20"/>
                <w:szCs w:val="20"/>
              </w:rPr>
              <w:t>,</w:t>
            </w:r>
            <w:r w:rsidR="001662E9">
              <w:rPr>
                <w:rFonts w:ascii="Palatino Linotype" w:hAnsi="Palatino Linotype"/>
                <w:sz w:val="20"/>
                <w:szCs w:val="20"/>
              </w:rPr>
              <w:t xml:space="preserve"> 2017. </w:t>
            </w:r>
            <w:r w:rsidR="001662E9" w:rsidRPr="001662E9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1662E9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14:paraId="07664AAB" w14:textId="77777777" w:rsidR="0066624F" w:rsidRDefault="0066624F" w:rsidP="00E24224">
            <w:pPr>
              <w:spacing w:before="360"/>
              <w:rPr>
                <w:rFonts w:ascii="Palatino Linotype" w:hAnsi="Palatino Linotype"/>
                <w:sz w:val="20"/>
                <w:szCs w:val="20"/>
              </w:rPr>
            </w:pPr>
          </w:p>
          <w:p w14:paraId="3464E875" w14:textId="77777777" w:rsidR="001662E9" w:rsidRDefault="001662E9" w:rsidP="00E24224">
            <w:pPr>
              <w:spacing w:before="360"/>
              <w:rPr>
                <w:rFonts w:ascii="Palatino Linotype" w:hAnsi="Palatino Linotype"/>
                <w:sz w:val="20"/>
                <w:szCs w:val="20"/>
              </w:rPr>
            </w:pPr>
          </w:p>
          <w:p w14:paraId="337F34A4" w14:textId="77777777" w:rsidR="001662E9" w:rsidRDefault="001662E9" w:rsidP="00E24224">
            <w:pPr>
              <w:spacing w:before="360"/>
              <w:rPr>
                <w:rFonts w:ascii="Palatino Linotype" w:hAnsi="Palatino Linotype"/>
                <w:sz w:val="20"/>
                <w:szCs w:val="20"/>
              </w:rPr>
            </w:pPr>
          </w:p>
          <w:p w14:paraId="22DE9130" w14:textId="1E36B309" w:rsidR="001662E9" w:rsidRPr="004023A0" w:rsidRDefault="001662E9" w:rsidP="00E24224">
            <w:pPr>
              <w:spacing w:before="3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6624F" w:rsidRPr="004023A0" w14:paraId="0525DC61" w14:textId="77777777" w:rsidTr="00E24224">
        <w:tc>
          <w:tcPr>
            <w:tcW w:w="1638" w:type="dxa"/>
          </w:tcPr>
          <w:p w14:paraId="457D7A58" w14:textId="77777777" w:rsidR="004E7FA5" w:rsidRDefault="004E7FA5" w:rsidP="00E24224">
            <w:pPr>
              <w:pStyle w:val="NoSpacing"/>
              <w:rPr>
                <w:rFonts w:ascii="Palatino Linotype" w:hAnsi="Palatino Linotype"/>
                <w:b/>
                <w:smallCaps/>
                <w:sz w:val="20"/>
                <w:szCs w:val="20"/>
              </w:rPr>
            </w:pPr>
          </w:p>
          <w:p w14:paraId="468A2A1E" w14:textId="5C67D1B4" w:rsidR="0066624F" w:rsidRPr="004023A0" w:rsidRDefault="00DA7023" w:rsidP="00E24224">
            <w:pPr>
              <w:pStyle w:val="NoSpacing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mallCaps/>
                <w:sz w:val="20"/>
                <w:szCs w:val="20"/>
              </w:rPr>
              <w:lastRenderedPageBreak/>
              <w:t>I</w:t>
            </w:r>
            <w:r w:rsidR="0066624F" w:rsidRPr="004023A0">
              <w:rPr>
                <w:rFonts w:ascii="Palatino Linotype" w:hAnsi="Palatino Linotype"/>
                <w:b/>
                <w:smallCaps/>
                <w:sz w:val="20"/>
                <w:szCs w:val="20"/>
              </w:rPr>
              <w:t xml:space="preserve">nvited workshop and conference presentations </w:t>
            </w:r>
          </w:p>
        </w:tc>
        <w:tc>
          <w:tcPr>
            <w:tcW w:w="8172" w:type="dxa"/>
          </w:tcPr>
          <w:p w14:paraId="61357726" w14:textId="77777777" w:rsidR="004E7FA5" w:rsidRDefault="004E7FA5" w:rsidP="00E24224">
            <w:pPr>
              <w:spacing w:before="120"/>
              <w:rPr>
                <w:rFonts w:ascii="Palatino Linotype" w:hAnsi="Palatino Linotype"/>
                <w:sz w:val="20"/>
                <w:szCs w:val="20"/>
                <w:u w:val="single"/>
              </w:rPr>
            </w:pPr>
          </w:p>
          <w:p w14:paraId="504EE8CD" w14:textId="42121AB0" w:rsidR="003A299B" w:rsidRDefault="003A299B" w:rsidP="00E24224">
            <w:pPr>
              <w:spacing w:before="120"/>
              <w:rPr>
                <w:rFonts w:ascii="Palatino Linotype" w:hAnsi="Palatino Linotype"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sz w:val="20"/>
                <w:szCs w:val="20"/>
                <w:u w:val="single"/>
              </w:rPr>
              <w:lastRenderedPageBreak/>
              <w:t>2020</w:t>
            </w:r>
            <w:r w:rsidRPr="003A299B"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  <w:r w:rsidRPr="004023A0">
              <w:rPr>
                <w:rFonts w:ascii="Palatino Linotype" w:hAnsi="Palatino Linotype"/>
                <w:sz w:val="20"/>
                <w:szCs w:val="20"/>
              </w:rPr>
              <w:t>AAA FARS Mid-Year Meeting</w:t>
            </w:r>
          </w:p>
          <w:p w14:paraId="7FE3B9F0" w14:textId="6BE489A9" w:rsidR="003A299B" w:rsidRDefault="003A299B" w:rsidP="00E24224">
            <w:pPr>
              <w:spacing w:before="120"/>
              <w:rPr>
                <w:rFonts w:ascii="Palatino Linotype" w:hAnsi="Palatino Linotype"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sz w:val="20"/>
                <w:szCs w:val="20"/>
                <w:u w:val="single"/>
              </w:rPr>
              <w:t>2019</w:t>
            </w:r>
            <w:r w:rsidRPr="003A299B">
              <w:rPr>
                <w:rFonts w:ascii="Palatino Linotype" w:hAnsi="Palatino Linotype"/>
                <w:sz w:val="20"/>
                <w:szCs w:val="20"/>
              </w:rPr>
              <w:t xml:space="preserve">: Boston University, </w:t>
            </w:r>
            <w:r w:rsidRPr="004D0830">
              <w:rPr>
                <w:rFonts w:ascii="Palatino Linotype" w:hAnsi="Palatino Linotype"/>
                <w:sz w:val="20"/>
                <w:szCs w:val="20"/>
                <w:lang w:val="en-CA"/>
              </w:rPr>
              <w:t>Conv</w:t>
            </w:r>
            <w:r w:rsidR="009F71B3">
              <w:rPr>
                <w:rFonts w:ascii="Palatino Linotype" w:hAnsi="Palatino Linotype"/>
                <w:sz w:val="20"/>
                <w:szCs w:val="20"/>
                <w:lang w:val="en-CA"/>
              </w:rPr>
              <w:t>.</w:t>
            </w:r>
            <w:r w:rsidRPr="004D0830">
              <w:rPr>
                <w:rFonts w:ascii="Palatino Linotype" w:hAnsi="Palatino Linotype"/>
                <w:sz w:val="20"/>
                <w:szCs w:val="20"/>
                <w:lang w:val="en-CA"/>
              </w:rPr>
              <w:t xml:space="preserve"> of Financial and Managerial Acc</w:t>
            </w:r>
            <w:r>
              <w:rPr>
                <w:rFonts w:ascii="Palatino Linotype" w:hAnsi="Palatino Linotype"/>
                <w:sz w:val="20"/>
                <w:szCs w:val="20"/>
                <w:lang w:val="en-CA"/>
              </w:rPr>
              <w:t>t.</w:t>
            </w:r>
            <w:r w:rsidRPr="004D0830">
              <w:rPr>
                <w:rFonts w:ascii="Palatino Linotype" w:hAnsi="Palatino Linotype"/>
                <w:sz w:val="20"/>
                <w:szCs w:val="20"/>
                <w:lang w:val="en-CA"/>
              </w:rPr>
              <w:t xml:space="preserve"> Research</w:t>
            </w:r>
            <w:r>
              <w:rPr>
                <w:rFonts w:ascii="Palatino Linotype" w:hAnsi="Palatino Linotype"/>
                <w:sz w:val="20"/>
                <w:szCs w:val="20"/>
                <w:lang w:val="en-CA"/>
              </w:rPr>
              <w:t xml:space="preserve"> Conf.</w:t>
            </w:r>
          </w:p>
          <w:p w14:paraId="3D7EA8E6" w14:textId="601BDB34" w:rsidR="0066624F" w:rsidRDefault="0066624F" w:rsidP="00E24224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C27D90">
              <w:rPr>
                <w:rFonts w:ascii="Palatino Linotype" w:hAnsi="Palatino Linotype"/>
                <w:sz w:val="20"/>
                <w:szCs w:val="20"/>
                <w:u w:val="single"/>
              </w:rPr>
              <w:t>2018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  <w:r w:rsidRPr="004023A0">
              <w:rPr>
                <w:rFonts w:ascii="Palatino Linotype" w:hAnsi="Palatino Linotype"/>
                <w:sz w:val="20"/>
                <w:szCs w:val="20"/>
              </w:rPr>
              <w:t>AAA FARS Mid-Year Meeting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Annual UBCOW (UBC/Oregon/UW) Conference                                                                  </w:t>
            </w:r>
          </w:p>
          <w:p w14:paraId="3F225DE4" w14:textId="6A69662E" w:rsidR="0066624F" w:rsidRPr="004023A0" w:rsidRDefault="0066624F" w:rsidP="00E24224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C27D90">
              <w:rPr>
                <w:rFonts w:ascii="Palatino Linotype" w:hAnsi="Palatino Linotype"/>
                <w:sz w:val="20"/>
                <w:szCs w:val="20"/>
                <w:u w:val="single"/>
              </w:rPr>
              <w:t>2017</w:t>
            </w:r>
            <w:r w:rsidRPr="004D0830"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  <w:r w:rsidR="003A299B">
              <w:rPr>
                <w:rFonts w:ascii="Palatino Linotype" w:hAnsi="Palatino Linotype"/>
                <w:sz w:val="20"/>
                <w:szCs w:val="20"/>
              </w:rPr>
              <w:t xml:space="preserve">Ohio State </w:t>
            </w:r>
            <w:r w:rsidR="009F71B3">
              <w:rPr>
                <w:rFonts w:ascii="Palatino Linotype" w:hAnsi="Palatino Linotype"/>
                <w:sz w:val="20"/>
                <w:szCs w:val="20"/>
              </w:rPr>
              <w:t>University</w:t>
            </w:r>
            <w:r w:rsidR="003A299B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3A299B" w:rsidRPr="004D0830">
              <w:rPr>
                <w:rFonts w:ascii="Palatino Linotype" w:hAnsi="Palatino Linotype"/>
                <w:sz w:val="20"/>
                <w:szCs w:val="20"/>
                <w:lang w:val="en-CA"/>
              </w:rPr>
              <w:t>Conv</w:t>
            </w:r>
            <w:r w:rsidR="009F71B3">
              <w:rPr>
                <w:rFonts w:ascii="Palatino Linotype" w:hAnsi="Palatino Linotype"/>
                <w:sz w:val="20"/>
                <w:szCs w:val="20"/>
                <w:lang w:val="en-CA"/>
              </w:rPr>
              <w:t>.</w:t>
            </w:r>
            <w:r w:rsidR="003A299B" w:rsidRPr="004D0830">
              <w:rPr>
                <w:rFonts w:ascii="Palatino Linotype" w:hAnsi="Palatino Linotype"/>
                <w:sz w:val="20"/>
                <w:szCs w:val="20"/>
                <w:lang w:val="en-CA"/>
              </w:rPr>
              <w:t xml:space="preserve"> of Financial and Managerial Acc</w:t>
            </w:r>
            <w:r w:rsidR="003A299B">
              <w:rPr>
                <w:rFonts w:ascii="Palatino Linotype" w:hAnsi="Palatino Linotype"/>
                <w:sz w:val="20"/>
                <w:szCs w:val="20"/>
                <w:lang w:val="en-CA"/>
              </w:rPr>
              <w:t>t.</w:t>
            </w:r>
            <w:r w:rsidR="003A299B" w:rsidRPr="004D0830">
              <w:rPr>
                <w:rFonts w:ascii="Palatino Linotype" w:hAnsi="Palatino Linotype"/>
                <w:sz w:val="20"/>
                <w:szCs w:val="20"/>
                <w:lang w:val="en-CA"/>
              </w:rPr>
              <w:t xml:space="preserve"> Research</w:t>
            </w:r>
            <w:r w:rsidR="003A299B">
              <w:rPr>
                <w:rFonts w:ascii="Palatino Linotype" w:hAnsi="Palatino Linotype"/>
                <w:sz w:val="20"/>
                <w:szCs w:val="20"/>
                <w:lang w:val="en-CA"/>
              </w:rPr>
              <w:t xml:space="preserve"> Conf.</w:t>
            </w:r>
          </w:p>
          <w:p w14:paraId="47A81F9D" w14:textId="5811D3D6" w:rsidR="0066624F" w:rsidRPr="004023A0" w:rsidRDefault="0066624F" w:rsidP="00E24224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C27D90">
              <w:rPr>
                <w:rFonts w:ascii="Palatino Linotype" w:hAnsi="Palatino Linotype"/>
                <w:sz w:val="20"/>
                <w:szCs w:val="20"/>
                <w:u w:val="single"/>
              </w:rPr>
              <w:t>2015</w:t>
            </w:r>
            <w:r w:rsidRPr="004023A0">
              <w:rPr>
                <w:rFonts w:ascii="Palatino Linotype" w:hAnsi="Palatino Linotype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4023A0">
              <w:rPr>
                <w:rFonts w:ascii="Palatino Linotype" w:hAnsi="Palatino Linotype"/>
                <w:sz w:val="20"/>
                <w:szCs w:val="20"/>
              </w:rPr>
              <w:t>Arizona State University, Boston College, Georgia State University, University of British Columbia, University of Colorado at Boulder,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4023A0">
              <w:rPr>
                <w:rFonts w:ascii="Palatino Linotype" w:hAnsi="Palatino Linotype"/>
                <w:sz w:val="20"/>
                <w:szCs w:val="20"/>
              </w:rPr>
              <w:t>University of Illinois at Chicago, University of Miami</w:t>
            </w:r>
            <w:r>
              <w:rPr>
                <w:rFonts w:ascii="Palatino Linotype" w:hAnsi="Palatino Linotype"/>
                <w:sz w:val="20"/>
                <w:szCs w:val="20"/>
              </w:rPr>
              <w:t>,</w:t>
            </w:r>
            <w:r w:rsidRPr="004023A0">
              <w:rPr>
                <w:rFonts w:ascii="Palatino Linotype" w:hAnsi="Palatino Linotype"/>
                <w:sz w:val="20"/>
                <w:szCs w:val="20"/>
              </w:rPr>
              <w:t xml:space="preserve"> University of Oregon, University of Pittsburgh, University of Texas at Dallas, University of Utah, University of Washington</w:t>
            </w:r>
          </w:p>
          <w:p w14:paraId="17D1AEBE" w14:textId="35A3F455" w:rsidR="0066624F" w:rsidRPr="004023A0" w:rsidRDefault="0066624F" w:rsidP="00E24224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C27D90">
              <w:rPr>
                <w:rFonts w:ascii="Palatino Linotype" w:hAnsi="Palatino Linotype"/>
                <w:sz w:val="20"/>
                <w:szCs w:val="20"/>
                <w:u w:val="single"/>
              </w:rPr>
              <w:t>2014</w:t>
            </w:r>
            <w:r w:rsidRPr="004023A0">
              <w:rPr>
                <w:rFonts w:ascii="Palatino Linotype" w:hAnsi="Palatino Linotype"/>
                <w:sz w:val="20"/>
                <w:szCs w:val="20"/>
              </w:rPr>
              <w:t>: AAA FARS Mid-Year Meeting</w:t>
            </w:r>
            <w:r w:rsidR="003A299B">
              <w:rPr>
                <w:rFonts w:ascii="Palatino Linotype" w:hAnsi="Palatino Linotype"/>
                <w:sz w:val="20"/>
                <w:szCs w:val="20"/>
              </w:rPr>
              <w:t>,</w:t>
            </w:r>
            <w:r w:rsidRPr="004023A0">
              <w:rPr>
                <w:rFonts w:ascii="Palatino Linotype" w:hAnsi="Palatino Linotype"/>
                <w:sz w:val="20"/>
                <w:szCs w:val="20"/>
              </w:rPr>
              <w:t xml:space="preserve"> AAA Annual Meeting </w:t>
            </w:r>
          </w:p>
          <w:p w14:paraId="6229674B" w14:textId="2227D9B8" w:rsidR="0066624F" w:rsidRPr="004023A0" w:rsidRDefault="0066624F" w:rsidP="00E24224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C27D90">
              <w:rPr>
                <w:rFonts w:ascii="Palatino Linotype" w:hAnsi="Palatino Linotype"/>
                <w:sz w:val="20"/>
                <w:szCs w:val="20"/>
                <w:u w:val="single"/>
              </w:rPr>
              <w:t>2013</w:t>
            </w:r>
            <w:r w:rsidRPr="004023A0">
              <w:rPr>
                <w:rFonts w:ascii="Palatino Linotype" w:hAnsi="Palatino Linotype"/>
                <w:sz w:val="20"/>
                <w:szCs w:val="20"/>
              </w:rPr>
              <w:t>: AAA Annual Meeting</w:t>
            </w:r>
            <w:r w:rsidR="003A299B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4023A0">
              <w:rPr>
                <w:rFonts w:ascii="Palatino Linotype" w:hAnsi="Palatino Linotype"/>
                <w:sz w:val="20"/>
                <w:szCs w:val="20"/>
              </w:rPr>
              <w:t xml:space="preserve">Southern Finance Association Annual Meeting </w:t>
            </w:r>
          </w:p>
          <w:p w14:paraId="696C91E5" w14:textId="77777777" w:rsidR="0066624F" w:rsidRPr="004023A0" w:rsidRDefault="0066624F" w:rsidP="00E24224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6624F" w:rsidRPr="004023A0" w14:paraId="30A5FCFC" w14:textId="77777777" w:rsidTr="00E24224">
        <w:trPr>
          <w:trHeight w:val="70"/>
        </w:trPr>
        <w:tc>
          <w:tcPr>
            <w:tcW w:w="1638" w:type="dxa"/>
          </w:tcPr>
          <w:p w14:paraId="18843514" w14:textId="77777777" w:rsidR="0066624F" w:rsidRPr="00226A2B" w:rsidRDefault="00DA7023" w:rsidP="00E24224">
            <w:pPr>
              <w:pStyle w:val="NoSpacing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mallCaps/>
                <w:sz w:val="20"/>
                <w:szCs w:val="20"/>
              </w:rPr>
              <w:lastRenderedPageBreak/>
              <w:t>A</w:t>
            </w:r>
            <w:r w:rsidR="0066624F" w:rsidRPr="00226A2B">
              <w:rPr>
                <w:rFonts w:ascii="Palatino Linotype" w:hAnsi="Palatino Linotype"/>
                <w:b/>
                <w:smallCaps/>
                <w:sz w:val="20"/>
                <w:szCs w:val="20"/>
              </w:rPr>
              <w:t>cademic service</w:t>
            </w:r>
          </w:p>
        </w:tc>
        <w:tc>
          <w:tcPr>
            <w:tcW w:w="8172" w:type="dxa"/>
          </w:tcPr>
          <w:p w14:paraId="22F510D1" w14:textId="77777777" w:rsidR="0066624F" w:rsidRPr="00226A2B" w:rsidRDefault="0066624F" w:rsidP="00E24224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226A2B">
              <w:rPr>
                <w:rFonts w:ascii="Palatino Linotype" w:hAnsi="Palatino Linotype"/>
                <w:sz w:val="20"/>
                <w:szCs w:val="20"/>
              </w:rPr>
              <w:t xml:space="preserve">Ad Hoc Referee: </w:t>
            </w:r>
          </w:p>
          <w:p w14:paraId="2E92DF85" w14:textId="3375DC95" w:rsidR="0066624F" w:rsidRPr="00226A2B" w:rsidRDefault="0066624F" w:rsidP="0066624F">
            <w:pPr>
              <w:pStyle w:val="ListParagraph"/>
              <w:numPr>
                <w:ilvl w:val="0"/>
                <w:numId w:val="1"/>
              </w:numPr>
              <w:ind w:left="576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The Accounting Review, </w:t>
            </w:r>
            <w:r w:rsidR="003A299B">
              <w:rPr>
                <w:rFonts w:ascii="Palatino Linotype" w:hAnsi="Palatino Linotype"/>
                <w:i/>
                <w:sz w:val="20"/>
                <w:szCs w:val="20"/>
              </w:rPr>
              <w:t xml:space="preserve">Review of Accounting Studies,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Contemporary Accounting Research, Journal of Financial and Quantitative Analysis, Management Science, </w:t>
            </w:r>
            <w:r w:rsidRPr="00226A2B">
              <w:rPr>
                <w:rFonts w:ascii="Palatino Linotype" w:hAnsi="Palatino Linotype"/>
                <w:i/>
                <w:sz w:val="20"/>
                <w:szCs w:val="20"/>
              </w:rPr>
              <w:t>Production and Operations Management, Journal of Applied Accounting Research</w:t>
            </w:r>
          </w:p>
          <w:p w14:paraId="5395B0A1" w14:textId="577283CF" w:rsidR="0066624F" w:rsidRPr="00226A2B" w:rsidRDefault="00242DB7" w:rsidP="0066624F">
            <w:pPr>
              <w:pStyle w:val="ListParagraph"/>
              <w:numPr>
                <w:ilvl w:val="0"/>
                <w:numId w:val="1"/>
              </w:numPr>
              <w:spacing w:before="120"/>
              <w:ind w:left="576"/>
              <w:rPr>
                <w:rFonts w:ascii="Palatino Linotype" w:hAnsi="Palatino Linotype"/>
                <w:sz w:val="20"/>
                <w:szCs w:val="20"/>
              </w:rPr>
            </w:pPr>
            <w:r w:rsidRPr="00242DB7">
              <w:rPr>
                <w:rFonts w:ascii="Palatino Linotype" w:hAnsi="Palatino Linotype"/>
                <w:sz w:val="20"/>
                <w:szCs w:val="20"/>
              </w:rPr>
              <w:t>Contemporary Accounting Research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Conference, </w:t>
            </w:r>
            <w:r w:rsidR="003A299B">
              <w:rPr>
                <w:rFonts w:ascii="Palatino Linotype" w:hAnsi="Palatino Linotype"/>
                <w:sz w:val="20"/>
                <w:szCs w:val="20"/>
              </w:rPr>
              <w:t xml:space="preserve">AAA </w:t>
            </w:r>
            <w:r w:rsidR="0066624F">
              <w:rPr>
                <w:rFonts w:ascii="Palatino Linotype" w:hAnsi="Palatino Linotype"/>
                <w:sz w:val="20"/>
                <w:szCs w:val="20"/>
              </w:rPr>
              <w:t xml:space="preserve">FARS Mid-Year Meeting,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AAA </w:t>
            </w:r>
            <w:r w:rsidR="0066624F" w:rsidRPr="00226A2B">
              <w:rPr>
                <w:rFonts w:ascii="Palatino Linotype" w:hAnsi="Palatino Linotype"/>
                <w:sz w:val="20"/>
                <w:szCs w:val="20"/>
              </w:rPr>
              <w:t xml:space="preserve">Annual Meeting,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AAA </w:t>
            </w:r>
            <w:r w:rsidR="0066624F" w:rsidRPr="00226A2B">
              <w:rPr>
                <w:rFonts w:ascii="Palatino Linotype" w:hAnsi="Palatino Linotype"/>
                <w:sz w:val="20"/>
                <w:szCs w:val="20"/>
              </w:rPr>
              <w:t>Western Regional Meeting</w:t>
            </w:r>
          </w:p>
        </w:tc>
      </w:tr>
      <w:tr w:rsidR="0066624F" w:rsidRPr="004023A0" w14:paraId="6A760CB9" w14:textId="77777777" w:rsidTr="00E24224">
        <w:trPr>
          <w:trHeight w:val="70"/>
        </w:trPr>
        <w:tc>
          <w:tcPr>
            <w:tcW w:w="1638" w:type="dxa"/>
          </w:tcPr>
          <w:p w14:paraId="6AE729FC" w14:textId="77777777" w:rsidR="0066624F" w:rsidRPr="00226A2B" w:rsidRDefault="00DA7023" w:rsidP="00E24224">
            <w:pPr>
              <w:spacing w:before="360"/>
              <w:rPr>
                <w:rFonts w:ascii="Palatino Linotype" w:hAnsi="Palatino Linotype"/>
                <w:b/>
                <w:small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mallCaps/>
                <w:sz w:val="20"/>
                <w:szCs w:val="20"/>
              </w:rPr>
              <w:t>Awards &amp; f</w:t>
            </w:r>
            <w:r w:rsidR="0066624F" w:rsidRPr="00226A2B">
              <w:rPr>
                <w:rFonts w:ascii="Palatino Linotype" w:hAnsi="Palatino Linotype"/>
                <w:b/>
                <w:smallCaps/>
                <w:sz w:val="20"/>
                <w:szCs w:val="20"/>
              </w:rPr>
              <w:t>ellowships</w:t>
            </w:r>
          </w:p>
        </w:tc>
        <w:tc>
          <w:tcPr>
            <w:tcW w:w="8172" w:type="dxa"/>
          </w:tcPr>
          <w:p w14:paraId="0B2E866F" w14:textId="77777777" w:rsidR="001662E9" w:rsidRDefault="001662E9" w:rsidP="001662E9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679C3B86" w14:textId="77777777" w:rsidR="001662E9" w:rsidRDefault="001662E9" w:rsidP="001662E9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14:paraId="62409FEA" w14:textId="12E7F485" w:rsidR="001662E9" w:rsidRPr="001662E9" w:rsidRDefault="001662E9" w:rsidP="001662E9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1662E9">
              <w:rPr>
                <w:rFonts w:ascii="Palatino Linotype" w:hAnsi="Palatino Linotype"/>
                <w:sz w:val="20"/>
                <w:szCs w:val="20"/>
              </w:rPr>
              <w:t xml:space="preserve">Lex N. Gamble Family Award for Excellence in Case Development and Curriculum Innovation (2022) </w:t>
            </w:r>
          </w:p>
          <w:p w14:paraId="41428B9A" w14:textId="71F3D98D" w:rsidR="0066624F" w:rsidRPr="001662E9" w:rsidRDefault="009F71B3" w:rsidP="001662E9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1662E9">
              <w:rPr>
                <w:rFonts w:ascii="Palatino Linotype" w:hAnsi="Palatino Linotype"/>
                <w:sz w:val="20"/>
                <w:szCs w:val="20"/>
              </w:rPr>
              <w:t xml:space="preserve">Outstanding Discussion Award – FARS Mid-Year Meeting (2020)                                TMMBA Professor of the Quarter (Autumn 2018)                                                 </w:t>
            </w:r>
            <w:r w:rsidR="001662E9">
              <w:rPr>
                <w:rFonts w:ascii="Palatino Linotype" w:hAnsi="Palatino Linotype"/>
                <w:sz w:val="20"/>
                <w:szCs w:val="20"/>
              </w:rPr>
              <w:t xml:space="preserve">                </w:t>
            </w:r>
            <w:r w:rsidRPr="001662E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66624F" w:rsidRPr="001662E9">
              <w:rPr>
                <w:rFonts w:ascii="Palatino Linotype" w:hAnsi="Palatino Linotype"/>
                <w:sz w:val="20"/>
                <w:szCs w:val="20"/>
              </w:rPr>
              <w:t>Deloitte/J. Michael Cook Doctoral Consortium Fellow – University of Arizona</w:t>
            </w:r>
          </w:p>
          <w:p w14:paraId="30F271E1" w14:textId="77777777" w:rsidR="0066624F" w:rsidRPr="001662E9" w:rsidRDefault="0066624F" w:rsidP="00E24224">
            <w:pPr>
              <w:tabs>
                <w:tab w:val="left" w:pos="-360"/>
                <w:tab w:val="left" w:pos="900"/>
                <w:tab w:val="left" w:pos="7560"/>
                <w:tab w:val="left" w:pos="7650"/>
                <w:tab w:val="left" w:pos="7740"/>
                <w:tab w:val="left" w:pos="7830"/>
                <w:tab w:val="left" w:pos="7920"/>
                <w:tab w:val="left" w:pos="8010"/>
                <w:tab w:val="left" w:pos="8370"/>
                <w:tab w:val="left" w:pos="8460"/>
                <w:tab w:val="right" w:pos="8550"/>
                <w:tab w:val="left" w:pos="8640"/>
                <w:tab w:val="left" w:pos="8820"/>
              </w:tabs>
              <w:ind w:right="-126"/>
              <w:rPr>
                <w:rFonts w:ascii="Palatino Linotype" w:hAnsi="Palatino Linotype"/>
                <w:sz w:val="20"/>
                <w:szCs w:val="20"/>
              </w:rPr>
            </w:pPr>
            <w:r w:rsidRPr="001662E9">
              <w:rPr>
                <w:rFonts w:ascii="Palatino Linotype" w:hAnsi="Palatino Linotype"/>
                <w:sz w:val="20"/>
                <w:szCs w:val="20"/>
              </w:rPr>
              <w:t xml:space="preserve">PricewaterhouseCoopers </w:t>
            </w:r>
            <w:proofErr w:type="spellStart"/>
            <w:r w:rsidRPr="001662E9">
              <w:rPr>
                <w:rFonts w:ascii="Palatino Linotype" w:hAnsi="Palatino Linotype"/>
                <w:sz w:val="20"/>
                <w:szCs w:val="20"/>
              </w:rPr>
              <w:t>xACT</w:t>
            </w:r>
            <w:proofErr w:type="spellEnd"/>
            <w:r w:rsidRPr="001662E9">
              <w:rPr>
                <w:rFonts w:ascii="Palatino Linotype" w:hAnsi="Palatino Linotype"/>
                <w:sz w:val="20"/>
                <w:szCs w:val="20"/>
              </w:rPr>
              <w:t xml:space="preserve"> Competition Finalist – The Ohio State University</w:t>
            </w:r>
          </w:p>
          <w:p w14:paraId="6007A3E5" w14:textId="7CB95377" w:rsidR="0066624F" w:rsidRPr="001662E9" w:rsidRDefault="0066624F" w:rsidP="00E24224">
            <w:pPr>
              <w:tabs>
                <w:tab w:val="left" w:pos="-360"/>
                <w:tab w:val="left" w:pos="900"/>
                <w:tab w:val="left" w:pos="7560"/>
                <w:tab w:val="left" w:pos="7650"/>
                <w:tab w:val="left" w:pos="7740"/>
                <w:tab w:val="left" w:pos="7830"/>
                <w:tab w:val="left" w:pos="7920"/>
                <w:tab w:val="left" w:pos="8010"/>
                <w:tab w:val="left" w:pos="8370"/>
                <w:tab w:val="left" w:pos="8460"/>
                <w:tab w:val="right" w:pos="8550"/>
                <w:tab w:val="left" w:pos="8640"/>
                <w:tab w:val="left" w:pos="8820"/>
              </w:tabs>
              <w:ind w:right="-126"/>
              <w:rPr>
                <w:rFonts w:ascii="Palatino Linotype" w:hAnsi="Palatino Linotype"/>
                <w:sz w:val="20"/>
                <w:szCs w:val="20"/>
              </w:rPr>
            </w:pPr>
            <w:r w:rsidRPr="001662E9">
              <w:rPr>
                <w:rFonts w:ascii="Palatino Linotype" w:hAnsi="Palatino Linotype"/>
                <w:sz w:val="20"/>
                <w:szCs w:val="20"/>
              </w:rPr>
              <w:t xml:space="preserve">Graduate Enrichment Fellowship (Full-Ride </w:t>
            </w:r>
            <w:r w:rsidR="00625C98" w:rsidRPr="001662E9">
              <w:rPr>
                <w:rFonts w:ascii="Palatino Linotype" w:hAnsi="Palatino Linotype"/>
                <w:sz w:val="20"/>
                <w:szCs w:val="20"/>
              </w:rPr>
              <w:t>Scholarship</w:t>
            </w:r>
            <w:r w:rsidRPr="001662E9">
              <w:rPr>
                <w:rFonts w:ascii="Palatino Linotype" w:hAnsi="Palatino Linotype"/>
                <w:sz w:val="20"/>
                <w:szCs w:val="20"/>
              </w:rPr>
              <w:t>) – The Ohio State University</w:t>
            </w:r>
          </w:p>
          <w:p w14:paraId="20277C42" w14:textId="77777777" w:rsidR="0066624F" w:rsidRPr="001662E9" w:rsidRDefault="0066624F" w:rsidP="00E24224">
            <w:pPr>
              <w:tabs>
                <w:tab w:val="left" w:pos="-360"/>
                <w:tab w:val="left" w:pos="900"/>
                <w:tab w:val="left" w:pos="7560"/>
                <w:tab w:val="left" w:pos="7650"/>
                <w:tab w:val="left" w:pos="7740"/>
                <w:tab w:val="left" w:pos="7830"/>
                <w:tab w:val="left" w:pos="7920"/>
                <w:tab w:val="left" w:pos="8010"/>
                <w:tab w:val="left" w:pos="8370"/>
                <w:tab w:val="left" w:pos="8460"/>
                <w:tab w:val="right" w:pos="8550"/>
                <w:tab w:val="left" w:pos="8640"/>
                <w:tab w:val="left" w:pos="8820"/>
              </w:tabs>
              <w:ind w:right="-126"/>
              <w:rPr>
                <w:rFonts w:ascii="Palatino Linotype" w:hAnsi="Palatino Linotype"/>
                <w:sz w:val="20"/>
                <w:szCs w:val="20"/>
              </w:rPr>
            </w:pPr>
            <w:r w:rsidRPr="001662E9">
              <w:rPr>
                <w:rFonts w:ascii="Palatino Linotype" w:hAnsi="Palatino Linotype"/>
                <w:sz w:val="20"/>
                <w:szCs w:val="20"/>
              </w:rPr>
              <w:t xml:space="preserve">College of Business Outstanding Undergraduate of the Year </w:t>
            </w:r>
            <w:r w:rsidRPr="001662E9">
              <w:rPr>
                <w:rFonts w:ascii="Palatino Linotype" w:hAnsi="Palatino Linotype"/>
                <w:iCs/>
                <w:sz w:val="20"/>
                <w:szCs w:val="20"/>
              </w:rPr>
              <w:t>Award</w:t>
            </w:r>
            <w:r w:rsidRPr="001662E9">
              <w:rPr>
                <w:rFonts w:ascii="Palatino Linotype" w:hAnsi="Palatino Linotype"/>
                <w:sz w:val="20"/>
                <w:szCs w:val="20"/>
              </w:rPr>
              <w:t xml:space="preserve"> – Drake University</w:t>
            </w:r>
            <w:r w:rsidRPr="001662E9">
              <w:rPr>
                <w:rFonts w:ascii="Palatino Linotype" w:hAnsi="Palatino Linotype"/>
                <w:sz w:val="20"/>
                <w:szCs w:val="20"/>
              </w:rPr>
              <w:tab/>
            </w:r>
          </w:p>
          <w:p w14:paraId="25D6B151" w14:textId="77777777" w:rsidR="0066624F" w:rsidRPr="001662E9" w:rsidRDefault="0066624F" w:rsidP="00E24224">
            <w:pPr>
              <w:tabs>
                <w:tab w:val="left" w:pos="900"/>
                <w:tab w:val="left" w:pos="9900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1662E9">
              <w:rPr>
                <w:rFonts w:ascii="Palatino Linotype" w:hAnsi="Palatino Linotype"/>
                <w:iCs/>
                <w:sz w:val="20"/>
                <w:szCs w:val="20"/>
              </w:rPr>
              <w:t>Accounting Faculty Award</w:t>
            </w:r>
            <w:r w:rsidRPr="001662E9">
              <w:rPr>
                <w:rFonts w:ascii="Palatino Linotype" w:hAnsi="Palatino Linotype"/>
                <w:sz w:val="20"/>
                <w:szCs w:val="20"/>
              </w:rPr>
              <w:t xml:space="preserve"> – Drake University </w:t>
            </w:r>
          </w:p>
          <w:p w14:paraId="385D32E3" w14:textId="77777777" w:rsidR="0066624F" w:rsidRPr="00226A2B" w:rsidRDefault="0066624F" w:rsidP="00E24224">
            <w:pPr>
              <w:tabs>
                <w:tab w:val="left" w:pos="-360"/>
                <w:tab w:val="left" w:pos="900"/>
                <w:tab w:val="left" w:pos="7560"/>
                <w:tab w:val="left" w:pos="7650"/>
                <w:tab w:val="left" w:pos="7740"/>
                <w:tab w:val="left" w:pos="7830"/>
                <w:tab w:val="left" w:pos="7920"/>
                <w:tab w:val="left" w:pos="8010"/>
                <w:tab w:val="left" w:pos="8370"/>
                <w:tab w:val="left" w:pos="8460"/>
                <w:tab w:val="right" w:pos="8550"/>
                <w:tab w:val="left" w:pos="8640"/>
                <w:tab w:val="left" w:pos="8820"/>
              </w:tabs>
              <w:ind w:right="-126"/>
              <w:rPr>
                <w:rFonts w:ascii="Palatino Linotype" w:hAnsi="Palatino Linotype"/>
                <w:sz w:val="20"/>
                <w:szCs w:val="20"/>
              </w:rPr>
            </w:pPr>
            <w:r w:rsidRPr="001662E9">
              <w:rPr>
                <w:rFonts w:ascii="Palatino Linotype" w:hAnsi="Palatino Linotype"/>
                <w:sz w:val="20"/>
                <w:szCs w:val="20"/>
              </w:rPr>
              <w:t>Presidential Scholarship – Drake University</w:t>
            </w:r>
          </w:p>
        </w:tc>
      </w:tr>
      <w:tr w:rsidR="0066624F" w:rsidRPr="004023A0" w14:paraId="6BCEC38C" w14:textId="77777777" w:rsidTr="00E24224">
        <w:trPr>
          <w:trHeight w:val="70"/>
        </w:trPr>
        <w:tc>
          <w:tcPr>
            <w:tcW w:w="1638" w:type="dxa"/>
          </w:tcPr>
          <w:p w14:paraId="4DD30261" w14:textId="77777777" w:rsidR="0066624F" w:rsidRPr="00226A2B" w:rsidRDefault="0066624F" w:rsidP="00E24224">
            <w:pPr>
              <w:spacing w:before="360"/>
              <w:rPr>
                <w:rFonts w:ascii="Palatino Linotype" w:hAnsi="Palatino Linotype"/>
                <w:b/>
                <w:smallCaps/>
                <w:sz w:val="20"/>
                <w:szCs w:val="20"/>
              </w:rPr>
            </w:pPr>
            <w:r w:rsidRPr="00226A2B">
              <w:rPr>
                <w:rFonts w:ascii="Palatino Linotype" w:hAnsi="Palatino Linotype"/>
                <w:b/>
                <w:smallCaps/>
                <w:sz w:val="20"/>
                <w:szCs w:val="20"/>
              </w:rPr>
              <w:t>Professional experience</w:t>
            </w:r>
          </w:p>
        </w:tc>
        <w:tc>
          <w:tcPr>
            <w:tcW w:w="8172" w:type="dxa"/>
          </w:tcPr>
          <w:p w14:paraId="330F0FAB" w14:textId="77777777" w:rsidR="0066624F" w:rsidRPr="00226A2B" w:rsidRDefault="0066624F" w:rsidP="00E24224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3D8D116" w14:textId="77777777" w:rsidR="0066624F" w:rsidRPr="00226A2B" w:rsidRDefault="0066624F" w:rsidP="00E24224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 w:rsidRPr="00226A2B">
              <w:rPr>
                <w:rFonts w:ascii="Palatino Linotype" w:hAnsi="Palatino Linotype"/>
                <w:sz w:val="20"/>
                <w:szCs w:val="20"/>
              </w:rPr>
              <w:t>John Deere (June 2005-September 2009)</w:t>
            </w:r>
          </w:p>
          <w:p w14:paraId="0FDA1B27" w14:textId="77777777" w:rsidR="0066624F" w:rsidRPr="00226A2B" w:rsidRDefault="0066624F" w:rsidP="0066624F">
            <w:pPr>
              <w:pStyle w:val="ListParagraph"/>
              <w:numPr>
                <w:ilvl w:val="0"/>
                <w:numId w:val="1"/>
              </w:numPr>
              <w:ind w:left="576"/>
              <w:rPr>
                <w:rFonts w:ascii="Palatino Linotype" w:hAnsi="Palatino Linotype"/>
                <w:sz w:val="20"/>
                <w:szCs w:val="20"/>
              </w:rPr>
            </w:pPr>
            <w:r w:rsidRPr="00226A2B">
              <w:rPr>
                <w:rFonts w:ascii="Palatino Linotype" w:hAnsi="Palatino Linotype"/>
                <w:sz w:val="20"/>
                <w:szCs w:val="20"/>
              </w:rPr>
              <w:t>Accounts Receivable Supervisor – John Deere Agricultural Marketing Center</w:t>
            </w:r>
          </w:p>
          <w:p w14:paraId="3D5058B2" w14:textId="77777777" w:rsidR="0066624F" w:rsidRPr="00226A2B" w:rsidRDefault="0066624F" w:rsidP="0066624F">
            <w:pPr>
              <w:pStyle w:val="ListParagraph"/>
              <w:numPr>
                <w:ilvl w:val="0"/>
                <w:numId w:val="1"/>
              </w:numPr>
              <w:ind w:left="576"/>
              <w:rPr>
                <w:rFonts w:ascii="Palatino Linotype" w:hAnsi="Palatino Linotype"/>
                <w:sz w:val="20"/>
                <w:szCs w:val="20"/>
              </w:rPr>
            </w:pPr>
            <w:r w:rsidRPr="00226A2B">
              <w:rPr>
                <w:rFonts w:ascii="Palatino Linotype" w:hAnsi="Palatino Linotype"/>
                <w:sz w:val="20"/>
                <w:szCs w:val="20"/>
              </w:rPr>
              <w:t>Internal Auditor – John Deere Credit</w:t>
            </w:r>
          </w:p>
          <w:p w14:paraId="4E6780FA" w14:textId="77777777" w:rsidR="0066624F" w:rsidRPr="00226A2B" w:rsidRDefault="0066624F" w:rsidP="0066624F">
            <w:pPr>
              <w:pStyle w:val="ListParagraph"/>
              <w:numPr>
                <w:ilvl w:val="0"/>
                <w:numId w:val="1"/>
              </w:numPr>
              <w:ind w:left="576"/>
              <w:rPr>
                <w:rFonts w:ascii="Palatino Linotype" w:hAnsi="Palatino Linotype"/>
                <w:sz w:val="20"/>
                <w:szCs w:val="20"/>
              </w:rPr>
            </w:pPr>
            <w:r w:rsidRPr="00226A2B">
              <w:rPr>
                <w:rFonts w:ascii="Palatino Linotype" w:hAnsi="Palatino Linotype"/>
                <w:sz w:val="20"/>
                <w:szCs w:val="20"/>
              </w:rPr>
              <w:t xml:space="preserve">Project and Capital Accountant – John Deere Product Engineering Center </w:t>
            </w:r>
          </w:p>
          <w:p w14:paraId="73CBC844" w14:textId="77777777" w:rsidR="0066624F" w:rsidRPr="00226A2B" w:rsidRDefault="0066624F" w:rsidP="0066624F">
            <w:pPr>
              <w:pStyle w:val="ListParagraph"/>
              <w:numPr>
                <w:ilvl w:val="0"/>
                <w:numId w:val="1"/>
              </w:numPr>
              <w:ind w:left="576"/>
              <w:rPr>
                <w:rFonts w:ascii="Palatino Linotype" w:hAnsi="Palatino Linotype"/>
                <w:sz w:val="20"/>
                <w:szCs w:val="20"/>
              </w:rPr>
            </w:pPr>
            <w:r w:rsidRPr="00226A2B">
              <w:rPr>
                <w:rFonts w:ascii="Palatino Linotype" w:hAnsi="Palatino Linotype"/>
                <w:sz w:val="20"/>
                <w:szCs w:val="20"/>
              </w:rPr>
              <w:t>Accountant – John Deere Waterloo Works</w:t>
            </w:r>
          </w:p>
        </w:tc>
      </w:tr>
    </w:tbl>
    <w:p w14:paraId="7630D2F5" w14:textId="77777777" w:rsidR="003E7068" w:rsidRDefault="003E7068"/>
    <w:sectPr w:rsidR="003E70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D33F" w14:textId="77777777" w:rsidR="004B6199" w:rsidRDefault="004B6199" w:rsidP="0066624F">
      <w:r>
        <w:separator/>
      </w:r>
    </w:p>
  </w:endnote>
  <w:endnote w:type="continuationSeparator" w:id="0">
    <w:p w14:paraId="6365DDDA" w14:textId="77777777" w:rsidR="004B6199" w:rsidRDefault="004B6199" w:rsidP="0066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E29D" w14:textId="77777777" w:rsidR="004B6199" w:rsidRDefault="004B6199" w:rsidP="0066624F">
      <w:r>
        <w:separator/>
      </w:r>
    </w:p>
  </w:footnote>
  <w:footnote w:type="continuationSeparator" w:id="0">
    <w:p w14:paraId="292725E1" w14:textId="77777777" w:rsidR="004B6199" w:rsidRDefault="004B6199" w:rsidP="0066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8EFE" w14:textId="3777C9B3" w:rsidR="0066624F" w:rsidRDefault="0066624F" w:rsidP="0066624F">
    <w:pPr>
      <w:pStyle w:val="Header"/>
      <w:jc w:val="center"/>
      <w:rPr>
        <w:rFonts w:ascii="Palatino Linotype" w:hAnsi="Palatino Linotype"/>
        <w:b/>
        <w:sz w:val="36"/>
        <w:szCs w:val="36"/>
      </w:rPr>
    </w:pPr>
    <w:r w:rsidRPr="0066624F">
      <w:rPr>
        <w:rFonts w:ascii="Palatino Linotype" w:hAnsi="Palatino Linotype"/>
        <w:b/>
        <w:sz w:val="36"/>
        <w:szCs w:val="36"/>
      </w:rPr>
      <w:t>SARAH SHAIKH</w:t>
    </w:r>
  </w:p>
  <w:p w14:paraId="0981BAA3" w14:textId="50E1B430" w:rsidR="003F28B8" w:rsidRPr="0066624F" w:rsidRDefault="003F28B8" w:rsidP="0066624F">
    <w:pPr>
      <w:pStyle w:val="Header"/>
      <w:jc w:val="center"/>
      <w:rPr>
        <w:rFonts w:ascii="Palatino Linotype" w:hAnsi="Palatino Linotype"/>
        <w:b/>
        <w:sz w:val="36"/>
        <w:szCs w:val="36"/>
      </w:rPr>
    </w:pPr>
    <w:r w:rsidRPr="003F28B8">
      <w:rPr>
        <w:rFonts w:ascii="Palatino Linotype" w:hAnsi="Palatino Linotype" w:cs="Arial"/>
        <w:sz w:val="20"/>
        <w:szCs w:val="20"/>
        <w:lang w:val="en"/>
      </w:rPr>
      <w:t>sshaikh@uw.edu</w:t>
    </w:r>
  </w:p>
  <w:p w14:paraId="6A32619D" w14:textId="77777777" w:rsidR="0066624F" w:rsidRDefault="00666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E5099"/>
    <w:multiLevelType w:val="hybridMultilevel"/>
    <w:tmpl w:val="8396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34B6"/>
    <w:multiLevelType w:val="hybridMultilevel"/>
    <w:tmpl w:val="796E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77157">
    <w:abstractNumId w:val="1"/>
  </w:num>
  <w:num w:numId="2" w16cid:durableId="56152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4F"/>
    <w:rsid w:val="00044B5E"/>
    <w:rsid w:val="001662E9"/>
    <w:rsid w:val="00242DB7"/>
    <w:rsid w:val="00286EE5"/>
    <w:rsid w:val="002C0A34"/>
    <w:rsid w:val="002D22DF"/>
    <w:rsid w:val="002D2E38"/>
    <w:rsid w:val="002E2453"/>
    <w:rsid w:val="002F5F6A"/>
    <w:rsid w:val="003A299B"/>
    <w:rsid w:val="003E7068"/>
    <w:rsid w:val="003F28B8"/>
    <w:rsid w:val="00485CD6"/>
    <w:rsid w:val="004B6199"/>
    <w:rsid w:val="004D2786"/>
    <w:rsid w:val="004E7FA5"/>
    <w:rsid w:val="00622A93"/>
    <w:rsid w:val="00623D77"/>
    <w:rsid w:val="00625C98"/>
    <w:rsid w:val="0066624F"/>
    <w:rsid w:val="00884508"/>
    <w:rsid w:val="009F71B3"/>
    <w:rsid w:val="00A07569"/>
    <w:rsid w:val="00B03E97"/>
    <w:rsid w:val="00B852EE"/>
    <w:rsid w:val="00BE39E7"/>
    <w:rsid w:val="00CE56A7"/>
    <w:rsid w:val="00D26A65"/>
    <w:rsid w:val="00DA7023"/>
    <w:rsid w:val="00D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2A31"/>
  <w15:chartTrackingRefBased/>
  <w15:docId w15:val="{68C89D8B-2E38-4A0F-A94B-ABB10636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4F"/>
    <w:pPr>
      <w:ind w:left="720"/>
      <w:contextualSpacing/>
    </w:pPr>
  </w:style>
  <w:style w:type="table" w:styleId="TableGrid">
    <w:name w:val="Table Grid"/>
    <w:basedOn w:val="TableNormal"/>
    <w:rsid w:val="0066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uth-email">
    <w:name w:val="reauth-email"/>
    <w:basedOn w:val="DefaultParagraphFont"/>
    <w:rsid w:val="0066624F"/>
  </w:style>
  <w:style w:type="paragraph" w:styleId="NoSpacing">
    <w:name w:val="No Spacing"/>
    <w:uiPriority w:val="1"/>
    <w:qFormat/>
    <w:rsid w:val="0066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2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24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6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D111-084B-4FC4-9F0E-C59E53B4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Shaikh</dc:creator>
  <cp:keywords/>
  <dc:description/>
  <cp:lastModifiedBy>Sarah A Shaikh</cp:lastModifiedBy>
  <cp:revision>2</cp:revision>
  <cp:lastPrinted>2020-11-13T04:09:00Z</cp:lastPrinted>
  <dcterms:created xsi:type="dcterms:W3CDTF">2022-07-12T17:25:00Z</dcterms:created>
  <dcterms:modified xsi:type="dcterms:W3CDTF">2022-07-12T17:25:00Z</dcterms:modified>
</cp:coreProperties>
</file>