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83DEE" w14:textId="06E922BF" w:rsidR="004D5FA2" w:rsidRPr="006C5557" w:rsidRDefault="004D5FA2" w:rsidP="00EC2EF4">
      <w:pPr>
        <w:widowControl w:val="0"/>
        <w:tabs>
          <w:tab w:val="left" w:pos="3720"/>
          <w:tab w:val="left" w:pos="5520"/>
        </w:tabs>
        <w:autoSpaceDE w:val="0"/>
        <w:autoSpaceDN w:val="0"/>
        <w:adjustRightInd w:val="0"/>
        <w:jc w:val="center"/>
        <w:rPr>
          <w:rFonts w:asciiTheme="minorHAnsi" w:hAnsiTheme="minorHAnsi"/>
          <w:b/>
          <w:bCs/>
          <w:caps/>
          <w:sz w:val="28"/>
          <w:szCs w:val="28"/>
        </w:rPr>
      </w:pPr>
      <w:r w:rsidRPr="006C5557">
        <w:rPr>
          <w:rFonts w:asciiTheme="minorHAnsi" w:hAnsiTheme="minorHAnsi"/>
          <w:b/>
          <w:bCs/>
          <w:caps/>
          <w:sz w:val="28"/>
          <w:szCs w:val="28"/>
        </w:rPr>
        <w:t xml:space="preserve">Marketing </w:t>
      </w:r>
      <w:r w:rsidR="006C5557" w:rsidRPr="006C5557">
        <w:rPr>
          <w:rFonts w:asciiTheme="minorHAnsi" w:hAnsiTheme="minorHAnsi"/>
          <w:b/>
          <w:bCs/>
          <w:caps/>
          <w:sz w:val="28"/>
          <w:szCs w:val="28"/>
        </w:rPr>
        <w:t>Analytics (MBA)</w:t>
      </w:r>
    </w:p>
    <w:p w14:paraId="4CE8403B" w14:textId="77777777" w:rsidR="000E3671" w:rsidRPr="006C5557" w:rsidRDefault="000E3671" w:rsidP="00481C65">
      <w:pPr>
        <w:rPr>
          <w:rFonts w:asciiTheme="minorHAnsi" w:hAnsiTheme="minorHAnsi"/>
        </w:rPr>
      </w:pPr>
    </w:p>
    <w:p w14:paraId="074E0760" w14:textId="1093A654" w:rsidR="00D64F75" w:rsidRPr="006C5557" w:rsidRDefault="00481C65">
      <w:pPr>
        <w:pStyle w:val="Heading1"/>
        <w:rPr>
          <w:rFonts w:asciiTheme="minorHAnsi" w:hAnsiTheme="minorHAnsi"/>
          <w:i w:val="0"/>
        </w:rPr>
      </w:pPr>
      <w:r w:rsidRPr="006C5557">
        <w:rPr>
          <w:rFonts w:asciiTheme="minorHAnsi" w:hAnsiTheme="minorHAnsi"/>
          <w:i w:val="0"/>
        </w:rPr>
        <w:t xml:space="preserve">Why Do You Want to Learn Marketing Analytics? </w:t>
      </w:r>
    </w:p>
    <w:p w14:paraId="0EEFD67E" w14:textId="1D8CAD32" w:rsidR="00A33079" w:rsidRPr="006C5557" w:rsidRDefault="00A33079" w:rsidP="00A33079">
      <w:pPr>
        <w:rPr>
          <w:rFonts w:asciiTheme="minorHAnsi" w:hAnsiTheme="minorHAnsi"/>
        </w:rPr>
      </w:pPr>
      <w:r w:rsidRPr="006C5557">
        <w:rPr>
          <w:rFonts w:asciiTheme="minorHAnsi" w:hAnsiTheme="minorHAnsi"/>
        </w:rPr>
        <w:t xml:space="preserve">The objective of the course will be to show you the benefits of using a systematic and analytical approach to marketing decision-making. An analytical approach will enable you to: </w:t>
      </w:r>
    </w:p>
    <w:p w14:paraId="2204605D" w14:textId="77777777" w:rsidR="00A33079" w:rsidRPr="006C5557" w:rsidRDefault="00A33079" w:rsidP="00A33079">
      <w:pPr>
        <w:rPr>
          <w:rFonts w:asciiTheme="minorHAnsi" w:hAnsiTheme="minorHAnsi"/>
        </w:rPr>
      </w:pPr>
    </w:p>
    <w:p w14:paraId="1CF1994B" w14:textId="705B4392" w:rsidR="00A33079" w:rsidRPr="006C5557" w:rsidRDefault="00A33079" w:rsidP="00A33079">
      <w:pPr>
        <w:numPr>
          <w:ilvl w:val="0"/>
          <w:numId w:val="43"/>
        </w:numPr>
        <w:rPr>
          <w:rFonts w:asciiTheme="minorHAnsi" w:hAnsiTheme="minorHAnsi"/>
        </w:rPr>
      </w:pPr>
      <w:r w:rsidRPr="006C5557">
        <w:rPr>
          <w:rFonts w:asciiTheme="minorHAnsi" w:hAnsiTheme="minorHAnsi"/>
        </w:rPr>
        <w:t xml:space="preserve">Understand how the “first principles” of marketing strategy helps firms organize the analytics opportunity and challenge in today’s data era, and </w:t>
      </w:r>
    </w:p>
    <w:p w14:paraId="7B928CFD" w14:textId="77777777" w:rsidR="00A33079" w:rsidRPr="006C5557" w:rsidRDefault="00A33079" w:rsidP="00A33079">
      <w:pPr>
        <w:numPr>
          <w:ilvl w:val="0"/>
          <w:numId w:val="43"/>
        </w:numPr>
        <w:rPr>
          <w:rFonts w:asciiTheme="minorHAnsi" w:hAnsiTheme="minorHAnsi"/>
        </w:rPr>
      </w:pPr>
      <w:r w:rsidRPr="006C5557">
        <w:rPr>
          <w:rFonts w:asciiTheme="minorHAnsi" w:hAnsiTheme="minorHAnsi"/>
        </w:rPr>
        <w:t>Use and execute data analytic techniques, and case studies to understand how to solve marketing analytics problems in a scientific and process-driven manner.</w:t>
      </w:r>
    </w:p>
    <w:p w14:paraId="334E3F99" w14:textId="77777777" w:rsidR="00A33079" w:rsidRPr="006C5557" w:rsidRDefault="00A33079" w:rsidP="00A33079">
      <w:pPr>
        <w:rPr>
          <w:rFonts w:asciiTheme="minorHAnsi" w:hAnsiTheme="minorHAnsi"/>
        </w:rPr>
      </w:pPr>
      <w:r w:rsidRPr="006C5557">
        <w:rPr>
          <w:rFonts w:asciiTheme="minorHAnsi" w:hAnsiTheme="minorHAnsi"/>
        </w:rPr>
        <w:t>I argue that most analytic challenges facing marketing researchers, consultants, and managers could be integrated under one umbrella that comprises four fundamental marketing problems:</w:t>
      </w:r>
    </w:p>
    <w:p w14:paraId="5BEAA3C0" w14:textId="77777777" w:rsidR="00A33079" w:rsidRPr="006C5557" w:rsidRDefault="00A33079" w:rsidP="00A33079">
      <w:pPr>
        <w:pStyle w:val="ListParagraph"/>
        <w:numPr>
          <w:ilvl w:val="0"/>
          <w:numId w:val="45"/>
        </w:numPr>
        <w:rPr>
          <w:rFonts w:asciiTheme="minorHAnsi" w:hAnsiTheme="minorHAnsi"/>
        </w:rPr>
      </w:pPr>
      <w:r w:rsidRPr="006C5557">
        <w:rPr>
          <w:rFonts w:asciiTheme="minorHAnsi" w:hAnsiTheme="minorHAnsi"/>
        </w:rPr>
        <w:t>All customer are different</w:t>
      </w:r>
    </w:p>
    <w:p w14:paraId="5398EE6A" w14:textId="77777777" w:rsidR="00A33079" w:rsidRPr="006C5557" w:rsidRDefault="00A33079" w:rsidP="00A33079">
      <w:pPr>
        <w:pStyle w:val="ListParagraph"/>
        <w:numPr>
          <w:ilvl w:val="0"/>
          <w:numId w:val="45"/>
        </w:numPr>
        <w:rPr>
          <w:rFonts w:asciiTheme="minorHAnsi" w:hAnsiTheme="minorHAnsi"/>
        </w:rPr>
      </w:pPr>
      <w:r w:rsidRPr="006C5557">
        <w:rPr>
          <w:rFonts w:asciiTheme="minorHAnsi" w:hAnsiTheme="minorHAnsi"/>
        </w:rPr>
        <w:t>All customer change</w:t>
      </w:r>
    </w:p>
    <w:p w14:paraId="2CFF4767" w14:textId="77777777" w:rsidR="00A33079" w:rsidRPr="006C5557" w:rsidRDefault="00A33079" w:rsidP="00A33079">
      <w:pPr>
        <w:pStyle w:val="ListParagraph"/>
        <w:numPr>
          <w:ilvl w:val="0"/>
          <w:numId w:val="45"/>
        </w:numPr>
        <w:rPr>
          <w:rFonts w:asciiTheme="minorHAnsi" w:hAnsiTheme="minorHAnsi"/>
        </w:rPr>
      </w:pPr>
      <w:r w:rsidRPr="006C5557">
        <w:rPr>
          <w:rFonts w:asciiTheme="minorHAnsi" w:hAnsiTheme="minorHAnsi"/>
        </w:rPr>
        <w:t>All competitors react</w:t>
      </w:r>
    </w:p>
    <w:p w14:paraId="58630DAA" w14:textId="77777777" w:rsidR="00A33079" w:rsidRPr="006C5557" w:rsidRDefault="00A33079" w:rsidP="00A33079">
      <w:pPr>
        <w:pStyle w:val="ListParagraph"/>
        <w:numPr>
          <w:ilvl w:val="0"/>
          <w:numId w:val="45"/>
        </w:numPr>
        <w:rPr>
          <w:rFonts w:asciiTheme="minorHAnsi" w:hAnsiTheme="minorHAnsi"/>
        </w:rPr>
      </w:pPr>
      <w:r w:rsidRPr="006C5557">
        <w:rPr>
          <w:rFonts w:asciiTheme="minorHAnsi" w:hAnsiTheme="minorHAnsi"/>
        </w:rPr>
        <w:t>All resources are limited</w:t>
      </w:r>
    </w:p>
    <w:p w14:paraId="609DC850" w14:textId="77777777" w:rsidR="00A33079" w:rsidRPr="006C5557" w:rsidRDefault="00A33079" w:rsidP="00A33079">
      <w:pPr>
        <w:rPr>
          <w:rFonts w:asciiTheme="minorHAnsi" w:hAnsiTheme="minorHAnsi"/>
        </w:rPr>
      </w:pPr>
      <w:r w:rsidRPr="006C5557">
        <w:rPr>
          <w:rFonts w:asciiTheme="minorHAnsi" w:hAnsiTheme="minorHAnsi"/>
        </w:rPr>
        <w:t xml:space="preserve">I will then emphasize how the “first principles” of marketing strategy help solve the four fundamental marketing problems, and help students develop analytic competencies pertaining to each of the four first principles. You will learn how to measure customer preferences, recognize different ways to segment markets, identify attractive customers to target, determine the best positioning of your brand, and develop new products that add value. Overall, by completing this course, you will be on your way to making the ROI case for marketing expenditures that companies are increasingly asking of their executives. </w:t>
      </w:r>
    </w:p>
    <w:p w14:paraId="4A4D3390" w14:textId="77777777" w:rsidR="00B57DE8" w:rsidRPr="006C5557" w:rsidRDefault="00B57DE8" w:rsidP="007D6C89">
      <w:pPr>
        <w:rPr>
          <w:rFonts w:asciiTheme="minorHAnsi" w:hAnsiTheme="minorHAnsi"/>
        </w:rPr>
      </w:pPr>
    </w:p>
    <w:p w14:paraId="3FED2875" w14:textId="02FBCA7C" w:rsidR="00FF62FF" w:rsidRPr="006C5557" w:rsidRDefault="00481C65" w:rsidP="00FF62FF">
      <w:pPr>
        <w:widowControl w:val="0"/>
        <w:tabs>
          <w:tab w:val="left" w:pos="3720"/>
        </w:tabs>
        <w:autoSpaceDE w:val="0"/>
        <w:autoSpaceDN w:val="0"/>
        <w:adjustRightInd w:val="0"/>
        <w:ind w:left="40" w:hanging="20"/>
        <w:rPr>
          <w:rFonts w:asciiTheme="minorHAnsi" w:hAnsiTheme="minorHAnsi"/>
        </w:rPr>
      </w:pPr>
      <w:r w:rsidRPr="006C5557">
        <w:rPr>
          <w:rFonts w:asciiTheme="minorHAnsi" w:hAnsiTheme="minorHAnsi"/>
          <w:b/>
          <w:bCs/>
        </w:rPr>
        <w:t xml:space="preserve">What will Class be </w:t>
      </w:r>
      <w:proofErr w:type="gramStart"/>
      <w:r w:rsidRPr="006C5557">
        <w:rPr>
          <w:rFonts w:asciiTheme="minorHAnsi" w:hAnsiTheme="minorHAnsi"/>
          <w:b/>
          <w:bCs/>
        </w:rPr>
        <w:t>Like</w:t>
      </w:r>
      <w:proofErr w:type="gramEnd"/>
      <w:r w:rsidRPr="006C5557">
        <w:rPr>
          <w:rFonts w:asciiTheme="minorHAnsi" w:hAnsiTheme="minorHAnsi"/>
          <w:b/>
          <w:bCs/>
        </w:rPr>
        <w:t>?</w:t>
      </w:r>
    </w:p>
    <w:p w14:paraId="16CB0AE3" w14:textId="486886A1" w:rsidR="00FF62FF" w:rsidRPr="006C5557" w:rsidRDefault="00FF62FF" w:rsidP="00FF62FF">
      <w:pPr>
        <w:ind w:left="40" w:hanging="20"/>
        <w:rPr>
          <w:rFonts w:asciiTheme="minorHAnsi" w:hAnsiTheme="minorHAnsi"/>
        </w:rPr>
      </w:pPr>
      <w:r w:rsidRPr="006C5557">
        <w:rPr>
          <w:rFonts w:asciiTheme="minorHAnsi" w:hAnsiTheme="minorHAnsi"/>
        </w:rPr>
        <w:t>I will use the “Tell-Show-Do” sequence to give you hands-on experience in using the course materials for making marketing decisions. Lectures (supplemented by the text) will cover the concepts and models you need to understand and apply the scientific approach to marketing.</w:t>
      </w:r>
      <w:r w:rsidR="008B7C56" w:rsidRPr="006C5557">
        <w:rPr>
          <w:rFonts w:asciiTheme="minorHAnsi" w:hAnsiTheme="minorHAnsi"/>
        </w:rPr>
        <w:t xml:space="preserve"> </w:t>
      </w:r>
      <w:r w:rsidRPr="006C5557">
        <w:rPr>
          <w:rFonts w:asciiTheme="minorHAnsi" w:hAnsiTheme="minorHAnsi"/>
        </w:rPr>
        <w:t>The application of these concepts to practice will be illustrated in the cases, readings, and the examples.</w:t>
      </w:r>
      <w:r w:rsidR="008B7C56" w:rsidRPr="006C5557">
        <w:rPr>
          <w:rFonts w:asciiTheme="minorHAnsi" w:hAnsiTheme="minorHAnsi"/>
        </w:rPr>
        <w:t xml:space="preserve"> </w:t>
      </w:r>
      <w:r w:rsidRPr="006C5557">
        <w:rPr>
          <w:rFonts w:asciiTheme="minorHAnsi" w:hAnsiTheme="minorHAnsi"/>
        </w:rPr>
        <w:t xml:space="preserve">Through the software tools available with the text, you will have hands-on opportunities to apply the concepts and models to resolve real-life marketing problems. I welcome student contact and will do my best to accommodate you.  </w:t>
      </w:r>
    </w:p>
    <w:p w14:paraId="091684B1" w14:textId="77777777" w:rsidR="00FF62FF" w:rsidRPr="006C5557" w:rsidRDefault="00FF62FF" w:rsidP="007D6C89">
      <w:pPr>
        <w:rPr>
          <w:rFonts w:asciiTheme="minorHAnsi" w:hAnsiTheme="minorHAnsi"/>
        </w:rPr>
      </w:pPr>
    </w:p>
    <w:p w14:paraId="06E86DD4" w14:textId="23C9E6E3" w:rsidR="00ED4632" w:rsidRPr="006C5557" w:rsidRDefault="00ED4632" w:rsidP="00ED4632">
      <w:pPr>
        <w:keepNext/>
        <w:tabs>
          <w:tab w:val="left" w:pos="3720"/>
          <w:tab w:val="center" w:pos="4680"/>
        </w:tabs>
        <w:autoSpaceDE w:val="0"/>
        <w:autoSpaceDN w:val="0"/>
        <w:adjustRightInd w:val="0"/>
        <w:ind w:left="5760" w:hanging="5760"/>
        <w:jc w:val="both"/>
        <w:outlineLvl w:val="1"/>
        <w:rPr>
          <w:rFonts w:asciiTheme="minorHAnsi" w:hAnsiTheme="minorHAnsi"/>
          <w:b/>
          <w:bCs/>
        </w:rPr>
      </w:pPr>
      <w:r w:rsidRPr="006C5557">
        <w:rPr>
          <w:rFonts w:asciiTheme="minorHAnsi" w:hAnsiTheme="minorHAnsi"/>
          <w:b/>
          <w:bCs/>
        </w:rPr>
        <w:t>Texts and Course Materials</w:t>
      </w:r>
    </w:p>
    <w:p w14:paraId="1DCA14CA" w14:textId="77777777" w:rsidR="00ED4632" w:rsidRPr="006C5557" w:rsidRDefault="00ED4632" w:rsidP="00ED4632">
      <w:pPr>
        <w:widowControl w:val="0"/>
        <w:tabs>
          <w:tab w:val="left" w:pos="3720"/>
        </w:tabs>
        <w:autoSpaceDE w:val="0"/>
        <w:autoSpaceDN w:val="0"/>
        <w:adjustRightInd w:val="0"/>
        <w:rPr>
          <w:rFonts w:asciiTheme="minorHAnsi" w:hAnsiTheme="minorHAnsi"/>
        </w:rPr>
      </w:pPr>
    </w:p>
    <w:p w14:paraId="6C8C5AC1" w14:textId="773A76A0" w:rsidR="00ED4632" w:rsidRPr="006C5557" w:rsidRDefault="00ED4632" w:rsidP="00CE47F7">
      <w:pPr>
        <w:pStyle w:val="ListParagraph"/>
        <w:widowControl w:val="0"/>
        <w:numPr>
          <w:ilvl w:val="0"/>
          <w:numId w:val="41"/>
        </w:numPr>
        <w:tabs>
          <w:tab w:val="left" w:pos="3720"/>
        </w:tabs>
        <w:autoSpaceDE w:val="0"/>
        <w:autoSpaceDN w:val="0"/>
        <w:adjustRightInd w:val="0"/>
        <w:rPr>
          <w:rFonts w:asciiTheme="minorHAnsi" w:hAnsiTheme="minorHAnsi"/>
        </w:rPr>
      </w:pPr>
      <w:r w:rsidRPr="006C5557">
        <w:rPr>
          <w:rFonts w:asciiTheme="minorHAnsi" w:hAnsiTheme="minorHAnsi"/>
          <w:b/>
          <w:i/>
          <w:iCs/>
        </w:rPr>
        <w:t>Text (LRD):</w:t>
      </w:r>
      <w:r w:rsidRPr="006C5557">
        <w:rPr>
          <w:rFonts w:asciiTheme="minorHAnsi" w:hAnsiTheme="minorHAnsi"/>
          <w:i/>
          <w:iCs/>
        </w:rPr>
        <w:t xml:space="preserve"> </w:t>
      </w:r>
      <w:r w:rsidRPr="006C5557">
        <w:rPr>
          <w:rFonts w:asciiTheme="minorHAnsi" w:hAnsiTheme="minorHAnsi"/>
          <w:b/>
          <w:i/>
          <w:iCs/>
        </w:rPr>
        <w:t xml:space="preserve">Principles of </w:t>
      </w:r>
      <w:r w:rsidRPr="006C5557">
        <w:rPr>
          <w:rFonts w:asciiTheme="minorHAnsi" w:hAnsiTheme="minorHAnsi"/>
          <w:b/>
          <w:bCs/>
          <w:i/>
          <w:iCs/>
        </w:rPr>
        <w:t>Marketing Engineering</w:t>
      </w:r>
      <w:r w:rsidRPr="006C5557">
        <w:rPr>
          <w:rFonts w:asciiTheme="minorHAnsi" w:hAnsiTheme="minorHAnsi"/>
        </w:rPr>
        <w:t xml:space="preserve">, Gary L. Lilien, Arvind Rangaswamy, and Arnaud De </w:t>
      </w:r>
      <w:proofErr w:type="spellStart"/>
      <w:r w:rsidRPr="006C5557">
        <w:rPr>
          <w:rFonts w:asciiTheme="minorHAnsi" w:hAnsiTheme="minorHAnsi"/>
        </w:rPr>
        <w:t>Bruyn</w:t>
      </w:r>
      <w:proofErr w:type="spellEnd"/>
      <w:r w:rsidRPr="006C5557">
        <w:rPr>
          <w:rFonts w:asciiTheme="minorHAnsi" w:hAnsiTheme="minorHAnsi"/>
        </w:rPr>
        <w:t>, 2</w:t>
      </w:r>
      <w:r w:rsidRPr="006C5557">
        <w:rPr>
          <w:rFonts w:asciiTheme="minorHAnsi" w:hAnsiTheme="minorHAnsi"/>
          <w:vertAlign w:val="superscript"/>
        </w:rPr>
        <w:t>nd</w:t>
      </w:r>
      <w:r w:rsidR="006342F7" w:rsidRPr="006C5557">
        <w:rPr>
          <w:rFonts w:asciiTheme="minorHAnsi" w:hAnsiTheme="minorHAnsi"/>
        </w:rPr>
        <w:t xml:space="preserve"> Edition, 2012 (available for purchase at the bookstore).</w:t>
      </w:r>
    </w:p>
    <w:p w14:paraId="2CC1CC0F" w14:textId="1FF6AC16" w:rsidR="00ED4632" w:rsidRPr="006C5557" w:rsidRDefault="00ED4632" w:rsidP="00CE47F7">
      <w:pPr>
        <w:pStyle w:val="ListParagraph"/>
        <w:widowControl w:val="0"/>
        <w:numPr>
          <w:ilvl w:val="0"/>
          <w:numId w:val="41"/>
        </w:numPr>
        <w:tabs>
          <w:tab w:val="left" w:pos="3720"/>
        </w:tabs>
        <w:autoSpaceDE w:val="0"/>
        <w:autoSpaceDN w:val="0"/>
        <w:adjustRightInd w:val="0"/>
        <w:rPr>
          <w:rFonts w:asciiTheme="minorHAnsi" w:hAnsiTheme="minorHAnsi"/>
        </w:rPr>
      </w:pPr>
      <w:r w:rsidRPr="006C5557">
        <w:rPr>
          <w:rFonts w:asciiTheme="minorHAnsi" w:hAnsiTheme="minorHAnsi"/>
          <w:b/>
          <w:i/>
        </w:rPr>
        <w:t>Software</w:t>
      </w:r>
      <w:r w:rsidRPr="006C5557">
        <w:rPr>
          <w:rFonts w:asciiTheme="minorHAnsi" w:hAnsiTheme="minorHAnsi"/>
        </w:rPr>
        <w:t>: Marketing Engineering for Excel software (ME</w:t>
      </w:r>
      <w:r w:rsidRPr="006C5557">
        <w:rPr>
          <w:rFonts w:asciiTheme="minorHAnsi" w:hAnsiTheme="minorHAnsi"/>
          <w:vertAlign w:val="superscript"/>
        </w:rPr>
        <w:t>XL</w:t>
      </w:r>
      <w:r w:rsidRPr="006C5557">
        <w:rPr>
          <w:rFonts w:asciiTheme="minorHAnsi" w:hAnsiTheme="minorHAnsi"/>
        </w:rPr>
        <w:t>)</w:t>
      </w:r>
      <w:r w:rsidR="006342F7" w:rsidRPr="006C5557">
        <w:rPr>
          <w:rFonts w:asciiTheme="minorHAnsi" w:hAnsiTheme="minorHAnsi"/>
        </w:rPr>
        <w:t xml:space="preserve"> (available for purchase at the bookstore)</w:t>
      </w:r>
      <w:r w:rsidRPr="006C5557">
        <w:rPr>
          <w:rFonts w:asciiTheme="minorHAnsi" w:hAnsiTheme="minorHAnsi"/>
        </w:rPr>
        <w:t>.</w:t>
      </w:r>
    </w:p>
    <w:p w14:paraId="17C4986E" w14:textId="1BE43D39" w:rsidR="00ED4632" w:rsidRPr="006C5557" w:rsidRDefault="00CA25E3" w:rsidP="00CE47F7">
      <w:pPr>
        <w:pStyle w:val="ListParagraph"/>
        <w:widowControl w:val="0"/>
        <w:numPr>
          <w:ilvl w:val="0"/>
          <w:numId w:val="41"/>
        </w:numPr>
        <w:tabs>
          <w:tab w:val="left" w:pos="3720"/>
        </w:tabs>
        <w:autoSpaceDE w:val="0"/>
        <w:autoSpaceDN w:val="0"/>
        <w:adjustRightInd w:val="0"/>
        <w:rPr>
          <w:rFonts w:asciiTheme="minorHAnsi" w:hAnsiTheme="minorHAnsi"/>
        </w:rPr>
      </w:pPr>
      <w:r w:rsidRPr="006C5557">
        <w:rPr>
          <w:rFonts w:asciiTheme="minorHAnsi" w:hAnsiTheme="minorHAnsi"/>
          <w:b/>
          <w:i/>
        </w:rPr>
        <w:t>Cases</w:t>
      </w:r>
      <w:r w:rsidR="00ED4632" w:rsidRPr="006C5557">
        <w:rPr>
          <w:rFonts w:asciiTheme="minorHAnsi" w:hAnsiTheme="minorHAnsi"/>
          <w:b/>
          <w:i/>
        </w:rPr>
        <w:t>:</w:t>
      </w:r>
      <w:r w:rsidR="00ED4632" w:rsidRPr="006C5557">
        <w:rPr>
          <w:rFonts w:asciiTheme="minorHAnsi" w:hAnsiTheme="minorHAnsi"/>
        </w:rPr>
        <w:t xml:space="preserve">  </w:t>
      </w:r>
      <w:r w:rsidR="00382B1E" w:rsidRPr="006C5557">
        <w:rPr>
          <w:rFonts w:asciiTheme="minorHAnsi" w:hAnsiTheme="minorHAnsi"/>
        </w:rPr>
        <w:t xml:space="preserve">All </w:t>
      </w:r>
      <w:r w:rsidRPr="006C5557">
        <w:rPr>
          <w:rFonts w:asciiTheme="minorHAnsi" w:hAnsiTheme="minorHAnsi"/>
        </w:rPr>
        <w:t xml:space="preserve">cases </w:t>
      </w:r>
      <w:r w:rsidR="00382B1E" w:rsidRPr="006C5557">
        <w:rPr>
          <w:rFonts w:asciiTheme="minorHAnsi" w:hAnsiTheme="minorHAnsi"/>
        </w:rPr>
        <w:t xml:space="preserve">are </w:t>
      </w:r>
      <w:r w:rsidR="00ED4632" w:rsidRPr="006C5557">
        <w:rPr>
          <w:rFonts w:asciiTheme="minorHAnsi" w:hAnsiTheme="minorHAnsi"/>
        </w:rPr>
        <w:t>bundled with ME</w:t>
      </w:r>
      <w:r w:rsidR="00ED4632" w:rsidRPr="006C5557">
        <w:rPr>
          <w:rFonts w:asciiTheme="minorHAnsi" w:hAnsiTheme="minorHAnsi"/>
          <w:vertAlign w:val="superscript"/>
        </w:rPr>
        <w:t>XL</w:t>
      </w:r>
      <w:r w:rsidR="00ED4632" w:rsidRPr="006C5557">
        <w:rPr>
          <w:rFonts w:asciiTheme="minorHAnsi" w:hAnsiTheme="minorHAnsi"/>
        </w:rPr>
        <w:t xml:space="preserve"> </w:t>
      </w:r>
      <w:r w:rsidR="00C22F67" w:rsidRPr="006C5557">
        <w:rPr>
          <w:rFonts w:asciiTheme="minorHAnsi" w:hAnsiTheme="minorHAnsi"/>
        </w:rPr>
        <w:t xml:space="preserve">and </w:t>
      </w:r>
      <w:r w:rsidR="00ED4632" w:rsidRPr="006C5557">
        <w:rPr>
          <w:rFonts w:asciiTheme="minorHAnsi" w:hAnsiTheme="minorHAnsi"/>
        </w:rPr>
        <w:t>provided free to enrolled students.</w:t>
      </w:r>
    </w:p>
    <w:p w14:paraId="38F393CC" w14:textId="77777777" w:rsidR="00CA25E3" w:rsidRPr="006C5557" w:rsidRDefault="00CA25E3" w:rsidP="00ED4632">
      <w:pPr>
        <w:ind w:left="40" w:hanging="20"/>
        <w:rPr>
          <w:rFonts w:asciiTheme="minorHAnsi" w:hAnsiTheme="minorHAnsi"/>
          <w:b/>
          <w:bCs/>
        </w:rPr>
      </w:pPr>
    </w:p>
    <w:p w14:paraId="780DD6C0" w14:textId="77777777" w:rsidR="00ED4632" w:rsidRPr="006C5557" w:rsidRDefault="00ED4632" w:rsidP="00ED4632">
      <w:pPr>
        <w:ind w:left="40" w:hanging="20"/>
        <w:rPr>
          <w:rFonts w:asciiTheme="minorHAnsi" w:hAnsiTheme="minorHAnsi"/>
        </w:rPr>
      </w:pPr>
      <w:r w:rsidRPr="006C5557">
        <w:rPr>
          <w:rFonts w:asciiTheme="minorHAnsi" w:hAnsiTheme="minorHAnsi"/>
          <w:b/>
          <w:bCs/>
        </w:rPr>
        <w:t>Assignments and Assessments</w:t>
      </w:r>
    </w:p>
    <w:p w14:paraId="45F47425" w14:textId="77777777" w:rsidR="00ED4632" w:rsidRPr="006C5557" w:rsidRDefault="00ED4632" w:rsidP="00ED4632">
      <w:pPr>
        <w:widowControl w:val="0"/>
        <w:tabs>
          <w:tab w:val="left" w:pos="3720"/>
        </w:tabs>
        <w:autoSpaceDE w:val="0"/>
        <w:autoSpaceDN w:val="0"/>
        <w:adjustRightInd w:val="0"/>
        <w:ind w:left="40" w:hanging="20"/>
        <w:rPr>
          <w:rFonts w:asciiTheme="minorHAnsi" w:hAnsiTheme="minorHAnsi"/>
        </w:rPr>
      </w:pPr>
    </w:p>
    <w:p w14:paraId="291EA996" w14:textId="5A8257F5" w:rsidR="00ED4632" w:rsidRPr="006C5557" w:rsidRDefault="00ED4632" w:rsidP="002E4E33">
      <w:pPr>
        <w:widowControl w:val="0"/>
        <w:tabs>
          <w:tab w:val="left" w:pos="3720"/>
        </w:tabs>
        <w:autoSpaceDE w:val="0"/>
        <w:autoSpaceDN w:val="0"/>
        <w:adjustRightInd w:val="0"/>
        <w:ind w:left="40" w:hanging="20"/>
        <w:rPr>
          <w:rFonts w:asciiTheme="minorHAnsi" w:hAnsiTheme="minorHAnsi"/>
        </w:rPr>
      </w:pPr>
      <w:r w:rsidRPr="006C5557">
        <w:rPr>
          <w:rFonts w:asciiTheme="minorHAnsi" w:hAnsiTheme="minorHAnsi"/>
          <w:b/>
          <w:bCs/>
          <w:u w:val="single"/>
        </w:rPr>
        <w:lastRenderedPageBreak/>
        <w:t>Class participation (Individual):</w:t>
      </w:r>
      <w:r w:rsidRPr="006C5557">
        <w:rPr>
          <w:rFonts w:asciiTheme="minorHAnsi" w:hAnsiTheme="minorHAnsi"/>
          <w:b/>
          <w:bCs/>
        </w:rPr>
        <w:t xml:space="preserve"> </w:t>
      </w:r>
      <w:r w:rsidRPr="006C5557">
        <w:rPr>
          <w:rFonts w:asciiTheme="minorHAnsi" w:hAnsiTheme="minorHAnsi"/>
        </w:rPr>
        <w:t xml:space="preserve"> All students should read each case and conduct sufficient analyses to be able to address the questions asked in the case.  </w:t>
      </w:r>
      <w:r w:rsidRPr="006C5557">
        <w:rPr>
          <w:rFonts w:asciiTheme="minorHAnsi" w:hAnsiTheme="minorHAnsi"/>
          <w:b/>
        </w:rPr>
        <w:t>Please bring name cards to classes</w:t>
      </w:r>
      <w:r w:rsidRPr="006C5557">
        <w:rPr>
          <w:rFonts w:asciiTheme="minorHAnsi" w:hAnsiTheme="minorHAnsi"/>
        </w:rPr>
        <w:t>.</w:t>
      </w:r>
      <w:r w:rsidR="00306A27" w:rsidRPr="006C5557">
        <w:rPr>
          <w:rFonts w:asciiTheme="minorHAnsi" w:hAnsiTheme="minorHAnsi"/>
        </w:rPr>
        <w:t xml:space="preserve"> </w:t>
      </w:r>
      <w:r w:rsidRPr="006C5557">
        <w:rPr>
          <w:rFonts w:asciiTheme="minorHAnsi" w:hAnsiTheme="minorHAnsi"/>
        </w:rPr>
        <w:t xml:space="preserve">I emphasize </w:t>
      </w:r>
      <w:r w:rsidRPr="006C5557">
        <w:rPr>
          <w:rFonts w:asciiTheme="minorHAnsi" w:hAnsiTheme="minorHAnsi"/>
          <w:b/>
        </w:rPr>
        <w:t>quality of participation much more than quantity</w:t>
      </w:r>
      <w:r w:rsidRPr="006C5557">
        <w:rPr>
          <w:rFonts w:asciiTheme="minorHAnsi" w:hAnsiTheme="minorHAnsi"/>
        </w:rPr>
        <w:t xml:space="preserve">. Your contributions will count for more if you build on the comments/insights offered by others (including me) in the class. The purpose of class participation is learning.  So, do not attempt to dominate the conversation.  </w:t>
      </w:r>
    </w:p>
    <w:p w14:paraId="43B0C986" w14:textId="77777777" w:rsidR="00ED4632" w:rsidRPr="006C5557" w:rsidRDefault="00ED4632" w:rsidP="00ED4632">
      <w:pPr>
        <w:widowControl w:val="0"/>
        <w:tabs>
          <w:tab w:val="left" w:pos="3720"/>
        </w:tabs>
        <w:autoSpaceDE w:val="0"/>
        <w:autoSpaceDN w:val="0"/>
        <w:adjustRightInd w:val="0"/>
        <w:rPr>
          <w:rFonts w:asciiTheme="minorHAnsi" w:hAnsiTheme="minorHAnsi"/>
        </w:rPr>
      </w:pPr>
    </w:p>
    <w:p w14:paraId="39094C37" w14:textId="3A9691D6" w:rsidR="00A02BCE" w:rsidRPr="006C5557" w:rsidRDefault="00A02BCE" w:rsidP="00BD77F7">
      <w:pPr>
        <w:widowControl w:val="0"/>
        <w:tabs>
          <w:tab w:val="left" w:pos="3720"/>
        </w:tabs>
        <w:autoSpaceDE w:val="0"/>
        <w:autoSpaceDN w:val="0"/>
        <w:adjustRightInd w:val="0"/>
        <w:ind w:left="40" w:hanging="20"/>
        <w:rPr>
          <w:rFonts w:asciiTheme="minorHAnsi" w:hAnsiTheme="minorHAnsi"/>
          <w:bCs/>
        </w:rPr>
      </w:pPr>
      <w:r w:rsidRPr="006C5557">
        <w:rPr>
          <w:rFonts w:asciiTheme="minorHAnsi" w:hAnsiTheme="minorHAnsi"/>
          <w:b/>
          <w:bCs/>
          <w:u w:val="single"/>
        </w:rPr>
        <w:t xml:space="preserve">Toolkit (Individual) </w:t>
      </w:r>
      <w:r w:rsidRPr="006C5557">
        <w:rPr>
          <w:rFonts w:asciiTheme="minorHAnsi" w:hAnsiTheme="minorHAnsi"/>
          <w:bCs/>
        </w:rPr>
        <w:t xml:space="preserve">  You will build a Marketing Engineering Toolkit, consisting of a brief </w:t>
      </w:r>
      <w:r w:rsidRPr="006C5557">
        <w:rPr>
          <w:rFonts w:asciiTheme="minorHAnsi" w:hAnsiTheme="minorHAnsi"/>
          <w:b/>
          <w:bCs/>
        </w:rPr>
        <w:t xml:space="preserve">(no more than </w:t>
      </w:r>
      <w:r w:rsidR="0065554A" w:rsidRPr="006C5557">
        <w:rPr>
          <w:rFonts w:asciiTheme="minorHAnsi" w:hAnsiTheme="minorHAnsi"/>
          <w:b/>
          <w:bCs/>
        </w:rPr>
        <w:t>2</w:t>
      </w:r>
      <w:r w:rsidRPr="006C5557">
        <w:rPr>
          <w:rFonts w:asciiTheme="minorHAnsi" w:hAnsiTheme="minorHAnsi"/>
          <w:b/>
          <w:bCs/>
        </w:rPr>
        <w:t xml:space="preserve"> page</w:t>
      </w:r>
      <w:r w:rsidR="0065554A" w:rsidRPr="006C5557">
        <w:rPr>
          <w:rFonts w:asciiTheme="minorHAnsi" w:hAnsiTheme="minorHAnsi"/>
          <w:b/>
          <w:bCs/>
        </w:rPr>
        <w:t>s each</w:t>
      </w:r>
      <w:r w:rsidRPr="006C5557">
        <w:rPr>
          <w:rFonts w:asciiTheme="minorHAnsi" w:hAnsiTheme="minorHAnsi"/>
          <w:b/>
          <w:bCs/>
        </w:rPr>
        <w:t>)</w:t>
      </w:r>
      <w:r w:rsidRPr="006C5557">
        <w:rPr>
          <w:rFonts w:asciiTheme="minorHAnsi" w:hAnsiTheme="minorHAnsi"/>
          <w:bCs/>
        </w:rPr>
        <w:t xml:space="preserve"> summary of the following analytical tools that we will cover: (1) Cluster Analysis, (2) Positioning Maps, (3) Choice Models, (4) Conjoint models, and (5) </w:t>
      </w:r>
      <w:r w:rsidR="00863A59" w:rsidRPr="006C5557">
        <w:rPr>
          <w:rFonts w:asciiTheme="minorHAnsi" w:hAnsiTheme="minorHAnsi"/>
          <w:bCs/>
        </w:rPr>
        <w:t xml:space="preserve">Market </w:t>
      </w:r>
      <w:r w:rsidRPr="006C5557">
        <w:rPr>
          <w:rFonts w:asciiTheme="minorHAnsi" w:hAnsiTheme="minorHAnsi"/>
          <w:bCs/>
        </w:rPr>
        <w:t>Response models.  The toolkit will serve as a reference resource for you when you go on your internships/full-time jobs</w:t>
      </w:r>
      <w:bookmarkStart w:id="0" w:name="_GoBack"/>
      <w:bookmarkEnd w:id="0"/>
      <w:r w:rsidRPr="006C5557">
        <w:rPr>
          <w:rFonts w:asciiTheme="minorHAnsi" w:hAnsiTheme="minorHAnsi"/>
          <w:bCs/>
        </w:rPr>
        <w:t xml:space="preserve"> </w:t>
      </w:r>
    </w:p>
    <w:p w14:paraId="34BDAE93" w14:textId="77777777" w:rsidR="00A02BCE" w:rsidRPr="006C5557" w:rsidRDefault="00A02BCE" w:rsidP="0063540A">
      <w:pPr>
        <w:widowControl w:val="0"/>
        <w:tabs>
          <w:tab w:val="left" w:pos="3720"/>
        </w:tabs>
        <w:autoSpaceDE w:val="0"/>
        <w:autoSpaceDN w:val="0"/>
        <w:adjustRightInd w:val="0"/>
        <w:ind w:left="40" w:hanging="20"/>
        <w:rPr>
          <w:rFonts w:asciiTheme="minorHAnsi" w:hAnsiTheme="minorHAnsi"/>
          <w:b/>
          <w:bCs/>
          <w:u w:val="single"/>
        </w:rPr>
      </w:pPr>
    </w:p>
    <w:p w14:paraId="74F9C526" w14:textId="52AB1006" w:rsidR="00A721D8" w:rsidRPr="006C5557" w:rsidRDefault="00ED4632" w:rsidP="00A721D8">
      <w:pPr>
        <w:rPr>
          <w:rFonts w:asciiTheme="minorHAnsi" w:hAnsiTheme="minorHAnsi"/>
        </w:rPr>
      </w:pPr>
      <w:r w:rsidRPr="006C5557">
        <w:rPr>
          <w:rFonts w:asciiTheme="minorHAnsi" w:hAnsiTheme="minorHAnsi"/>
          <w:b/>
          <w:bCs/>
          <w:u w:val="single"/>
        </w:rPr>
        <w:t xml:space="preserve">Case </w:t>
      </w:r>
      <w:r w:rsidR="00A02BCE" w:rsidRPr="006C5557">
        <w:rPr>
          <w:rFonts w:asciiTheme="minorHAnsi" w:hAnsiTheme="minorHAnsi"/>
          <w:b/>
          <w:bCs/>
          <w:u w:val="single"/>
        </w:rPr>
        <w:t xml:space="preserve">Write-ups as </w:t>
      </w:r>
      <w:r w:rsidR="008D347F" w:rsidRPr="006C5557">
        <w:rPr>
          <w:rFonts w:asciiTheme="minorHAnsi" w:hAnsiTheme="minorHAnsi"/>
          <w:b/>
          <w:bCs/>
          <w:u w:val="single"/>
        </w:rPr>
        <w:t xml:space="preserve">Slides </w:t>
      </w:r>
      <w:r w:rsidRPr="006C5557">
        <w:rPr>
          <w:rFonts w:asciiTheme="minorHAnsi" w:hAnsiTheme="minorHAnsi"/>
          <w:b/>
          <w:bCs/>
          <w:u w:val="single"/>
        </w:rPr>
        <w:t>(Team):</w:t>
      </w:r>
      <w:r w:rsidR="007F591C" w:rsidRPr="006C5557">
        <w:rPr>
          <w:rFonts w:asciiTheme="minorHAnsi" w:hAnsiTheme="minorHAnsi"/>
          <w:b/>
          <w:bCs/>
          <w:u w:val="single"/>
        </w:rPr>
        <w:t xml:space="preserve"> </w:t>
      </w:r>
      <w:r w:rsidRPr="006C5557">
        <w:rPr>
          <w:rFonts w:asciiTheme="minorHAnsi" w:hAnsiTheme="minorHAnsi"/>
        </w:rPr>
        <w:t xml:space="preserve">This course focuses on “learning by doing.”  </w:t>
      </w:r>
      <w:r w:rsidR="007F591C" w:rsidRPr="006C5557">
        <w:rPr>
          <w:rFonts w:asciiTheme="minorHAnsi" w:hAnsiTheme="minorHAnsi"/>
        </w:rPr>
        <w:t xml:space="preserve"> We will be covering </w:t>
      </w:r>
      <w:r w:rsidR="00612AC0">
        <w:rPr>
          <w:rFonts w:asciiTheme="minorHAnsi" w:hAnsiTheme="minorHAnsi"/>
        </w:rPr>
        <w:t>four</w:t>
      </w:r>
      <w:r w:rsidR="00A02BCE" w:rsidRPr="006C5557">
        <w:rPr>
          <w:rFonts w:asciiTheme="minorHAnsi" w:hAnsiTheme="minorHAnsi"/>
        </w:rPr>
        <w:t xml:space="preserve"> cases </w:t>
      </w:r>
      <w:r w:rsidR="007F591C" w:rsidRPr="006C5557">
        <w:rPr>
          <w:rFonts w:asciiTheme="minorHAnsi" w:hAnsiTheme="minorHAnsi"/>
        </w:rPr>
        <w:t>through the duration of the course</w:t>
      </w:r>
      <w:r w:rsidR="00A02BCE" w:rsidRPr="006C5557">
        <w:rPr>
          <w:rFonts w:asciiTheme="minorHAnsi" w:hAnsiTheme="minorHAnsi"/>
        </w:rPr>
        <w:t xml:space="preserve">, and you should turn in </w:t>
      </w:r>
      <w:r w:rsidR="00612AC0">
        <w:rPr>
          <w:rFonts w:asciiTheme="minorHAnsi" w:hAnsiTheme="minorHAnsi"/>
        </w:rPr>
        <w:t xml:space="preserve">the </w:t>
      </w:r>
      <w:r w:rsidR="00A02BCE" w:rsidRPr="006C5557">
        <w:rPr>
          <w:rFonts w:asciiTheme="minorHAnsi" w:hAnsiTheme="minorHAnsi"/>
        </w:rPr>
        <w:t>cases</w:t>
      </w:r>
      <w:r w:rsidR="007F591C" w:rsidRPr="006C5557">
        <w:rPr>
          <w:rFonts w:asciiTheme="minorHAnsi" w:hAnsiTheme="minorHAnsi"/>
        </w:rPr>
        <w:t>.</w:t>
      </w:r>
      <w:r w:rsidR="00C85F0A" w:rsidRPr="006C5557">
        <w:rPr>
          <w:rFonts w:asciiTheme="minorHAnsi" w:hAnsiTheme="minorHAnsi"/>
        </w:rPr>
        <w:t xml:space="preserve"> </w:t>
      </w:r>
      <w:r w:rsidR="007F591C" w:rsidRPr="006C5557">
        <w:rPr>
          <w:rFonts w:asciiTheme="minorHAnsi" w:hAnsiTheme="minorHAnsi"/>
        </w:rPr>
        <w:t xml:space="preserve">These case slides should be submitted in the form of PowerPoint slides, due by </w:t>
      </w:r>
      <w:r w:rsidR="007F591C" w:rsidRPr="006C5557">
        <w:rPr>
          <w:rFonts w:asciiTheme="minorHAnsi" w:hAnsiTheme="minorHAnsi"/>
          <w:b/>
        </w:rPr>
        <w:t>before class begins</w:t>
      </w:r>
      <w:r w:rsidR="00E312B7" w:rsidRPr="006C5557">
        <w:rPr>
          <w:rFonts w:asciiTheme="minorHAnsi" w:hAnsiTheme="minorHAnsi"/>
          <w:b/>
        </w:rPr>
        <w:t xml:space="preserve"> (in print, before class starts) </w:t>
      </w:r>
      <w:r w:rsidR="007F591C" w:rsidRPr="006C5557">
        <w:rPr>
          <w:rFonts w:asciiTheme="minorHAnsi" w:hAnsiTheme="minorHAnsi"/>
        </w:rPr>
        <w:t xml:space="preserve">on the day of the case session. </w:t>
      </w:r>
      <w:r w:rsidR="00A02BCE" w:rsidRPr="006C5557">
        <w:rPr>
          <w:rFonts w:asciiTheme="minorHAnsi" w:hAnsiTheme="minorHAnsi"/>
        </w:rPr>
        <w:t xml:space="preserve">I will lead class discussion of the cases, but </w:t>
      </w:r>
      <w:r w:rsidR="00C85F0A" w:rsidRPr="006C5557">
        <w:rPr>
          <w:rFonts w:asciiTheme="minorHAnsi" w:hAnsiTheme="minorHAnsi"/>
        </w:rPr>
        <w:t xml:space="preserve">may </w:t>
      </w:r>
      <w:r w:rsidR="00A02BCE" w:rsidRPr="006C5557">
        <w:rPr>
          <w:rFonts w:asciiTheme="minorHAnsi" w:hAnsiTheme="minorHAnsi"/>
        </w:rPr>
        <w:t xml:space="preserve">call on any and all teams to discuss their analysis of the case. </w:t>
      </w:r>
      <w:r w:rsidR="0063540A" w:rsidRPr="006C5557">
        <w:rPr>
          <w:rFonts w:asciiTheme="minorHAnsi" w:hAnsiTheme="minorHAnsi"/>
        </w:rPr>
        <w:t xml:space="preserve">If you have supplemental notes for your slides, please print me a copy of your slides in Notes view.  </w:t>
      </w:r>
      <w:r w:rsidR="000838D9" w:rsidRPr="006C5557">
        <w:rPr>
          <w:rFonts w:asciiTheme="minorHAnsi" w:hAnsiTheme="minorHAnsi"/>
        </w:rPr>
        <w:t>Your case slides write-up is designed to highlight your ability to execute and translate the results of the marketing case in a managerially relevant and implementable manner</w:t>
      </w:r>
      <w:r w:rsidR="00C85F0A" w:rsidRPr="006C5557">
        <w:rPr>
          <w:rFonts w:asciiTheme="minorHAnsi" w:hAnsiTheme="minorHAnsi"/>
        </w:rPr>
        <w:t xml:space="preserve">. </w:t>
      </w:r>
    </w:p>
    <w:p w14:paraId="0AD93483" w14:textId="77777777" w:rsidR="00D300F5" w:rsidRPr="006C5557" w:rsidRDefault="00D300F5" w:rsidP="00A33079">
      <w:pPr>
        <w:widowControl w:val="0"/>
        <w:tabs>
          <w:tab w:val="left" w:pos="3720"/>
        </w:tabs>
        <w:autoSpaceDE w:val="0"/>
        <w:autoSpaceDN w:val="0"/>
        <w:adjustRightInd w:val="0"/>
        <w:rPr>
          <w:rFonts w:asciiTheme="minorHAnsi" w:hAnsiTheme="minorHAnsi"/>
          <w:b/>
          <w:u w:val="single"/>
        </w:rPr>
      </w:pPr>
    </w:p>
    <w:p w14:paraId="244A07E8" w14:textId="77777777" w:rsidR="003911BC" w:rsidRPr="00EA4204" w:rsidRDefault="003911BC" w:rsidP="003911BC">
      <w:pPr>
        <w:widowControl w:val="0"/>
        <w:tabs>
          <w:tab w:val="left" w:pos="3720"/>
        </w:tabs>
        <w:autoSpaceDE w:val="0"/>
        <w:autoSpaceDN w:val="0"/>
        <w:adjustRightInd w:val="0"/>
        <w:ind w:left="40" w:hanging="20"/>
        <w:rPr>
          <w:rFonts w:asciiTheme="minorHAnsi" w:hAnsiTheme="minorHAnsi"/>
          <w:u w:val="single"/>
        </w:rPr>
      </w:pPr>
      <w:r w:rsidRPr="006C5557">
        <w:rPr>
          <w:rFonts w:asciiTheme="minorHAnsi" w:hAnsiTheme="minorHAnsi"/>
          <w:b/>
          <w:u w:val="single"/>
        </w:rPr>
        <w:t xml:space="preserve">Final </w:t>
      </w:r>
      <w:r>
        <w:rPr>
          <w:rFonts w:asciiTheme="minorHAnsi" w:hAnsiTheme="minorHAnsi"/>
          <w:b/>
          <w:u w:val="single"/>
        </w:rPr>
        <w:t>Exam</w:t>
      </w:r>
      <w:r>
        <w:rPr>
          <w:rFonts w:asciiTheme="minorHAnsi" w:hAnsiTheme="minorHAnsi"/>
          <w:b/>
        </w:rPr>
        <w:t xml:space="preserve">: </w:t>
      </w:r>
      <w:r w:rsidRPr="00EA4204">
        <w:rPr>
          <w:rFonts w:asciiTheme="minorHAnsi" w:hAnsiTheme="minorHAnsi"/>
        </w:rPr>
        <w:t>The exam will be closed-book, and will help us assess your understanding of the core conceptual materials discussed in the class.  During the course sessions, we will provide you more details about the types of questions that will be covered in the exam, and I will also provide you some guidelines for preparing for the exam.</w:t>
      </w:r>
    </w:p>
    <w:p w14:paraId="148C3993" w14:textId="7B55C3EB" w:rsidR="008B68BF" w:rsidRPr="006C5557" w:rsidRDefault="008B68BF" w:rsidP="008B68BF">
      <w:pPr>
        <w:widowControl w:val="0"/>
        <w:tabs>
          <w:tab w:val="left" w:pos="3720"/>
        </w:tabs>
        <w:autoSpaceDE w:val="0"/>
        <w:autoSpaceDN w:val="0"/>
        <w:adjustRightInd w:val="0"/>
        <w:ind w:left="40" w:hanging="20"/>
        <w:rPr>
          <w:rFonts w:asciiTheme="minorHAnsi" w:hAnsiTheme="minorHAnsi"/>
        </w:rPr>
      </w:pPr>
    </w:p>
    <w:p w14:paraId="6FF95A26" w14:textId="77777777" w:rsidR="008B68BF" w:rsidRPr="006C5557" w:rsidRDefault="008B68BF" w:rsidP="00ED4632">
      <w:pPr>
        <w:widowControl w:val="0"/>
        <w:tabs>
          <w:tab w:val="left" w:pos="3720"/>
        </w:tabs>
        <w:autoSpaceDE w:val="0"/>
        <w:autoSpaceDN w:val="0"/>
        <w:adjustRightInd w:val="0"/>
        <w:rPr>
          <w:rFonts w:asciiTheme="minorHAnsi" w:hAnsiTheme="minorHAnsi"/>
          <w:b/>
          <w:bCs/>
          <w:u w:val="single"/>
        </w:rPr>
      </w:pPr>
    </w:p>
    <w:p w14:paraId="4632F9CE" w14:textId="27A7D9E8" w:rsidR="00ED4632" w:rsidRPr="006C5557" w:rsidRDefault="00ED4632" w:rsidP="00ED4632">
      <w:pPr>
        <w:widowControl w:val="0"/>
        <w:tabs>
          <w:tab w:val="left" w:pos="3720"/>
        </w:tabs>
        <w:autoSpaceDE w:val="0"/>
        <w:autoSpaceDN w:val="0"/>
        <w:adjustRightInd w:val="0"/>
        <w:rPr>
          <w:rFonts w:asciiTheme="minorHAnsi" w:hAnsiTheme="minorHAnsi"/>
        </w:rPr>
      </w:pPr>
      <w:r w:rsidRPr="006C5557">
        <w:rPr>
          <w:rFonts w:asciiTheme="minorHAnsi" w:hAnsiTheme="minorHAnsi"/>
          <w:b/>
          <w:bCs/>
          <w:u w:val="single"/>
        </w:rPr>
        <w:t xml:space="preserve">Assessment Components: </w:t>
      </w:r>
      <w:r w:rsidRPr="006C5557">
        <w:rPr>
          <w:rFonts w:asciiTheme="minorHAnsi" w:hAnsiTheme="minorHAnsi"/>
          <w:bCs/>
        </w:rPr>
        <w:t>These grade components will be weighted as follows:</w:t>
      </w:r>
    </w:p>
    <w:p w14:paraId="2CA61C98" w14:textId="77777777" w:rsidR="00ED4632" w:rsidRPr="006C5557" w:rsidRDefault="00ED4632" w:rsidP="00ED4632">
      <w:pPr>
        <w:widowControl w:val="0"/>
        <w:tabs>
          <w:tab w:val="left" w:pos="3720"/>
        </w:tabs>
        <w:autoSpaceDE w:val="0"/>
        <w:autoSpaceDN w:val="0"/>
        <w:adjustRightInd w:val="0"/>
        <w:ind w:left="40" w:hanging="20"/>
        <w:jc w:val="both"/>
        <w:rPr>
          <w:rFonts w:asciiTheme="minorHAnsi" w:hAnsiTheme="minorHAnsi"/>
        </w:rPr>
      </w:pPr>
    </w:p>
    <w:p w14:paraId="7BA3B501" w14:textId="5856A97C" w:rsidR="00ED4632" w:rsidRPr="006C5557" w:rsidRDefault="00ED4632" w:rsidP="00ED4632">
      <w:pPr>
        <w:widowControl w:val="0"/>
        <w:tabs>
          <w:tab w:val="left" w:pos="3240"/>
          <w:tab w:val="left" w:pos="3720"/>
        </w:tabs>
        <w:autoSpaceDE w:val="0"/>
        <w:autoSpaceDN w:val="0"/>
        <w:adjustRightInd w:val="0"/>
        <w:ind w:left="2340" w:hanging="2320"/>
        <w:jc w:val="both"/>
        <w:rPr>
          <w:rFonts w:asciiTheme="minorHAnsi" w:hAnsiTheme="minorHAnsi"/>
        </w:rPr>
      </w:pPr>
      <w:r w:rsidRPr="006C5557">
        <w:rPr>
          <w:rFonts w:asciiTheme="minorHAnsi" w:hAnsiTheme="minorHAnsi"/>
        </w:rPr>
        <w:t>Class Participation</w:t>
      </w:r>
      <w:r w:rsidRPr="006C5557">
        <w:rPr>
          <w:rFonts w:asciiTheme="minorHAnsi" w:hAnsiTheme="minorHAnsi"/>
        </w:rPr>
        <w:tab/>
      </w:r>
      <w:r w:rsidRPr="006C5557">
        <w:rPr>
          <w:rFonts w:asciiTheme="minorHAnsi" w:hAnsiTheme="minorHAnsi"/>
        </w:rPr>
        <w:tab/>
      </w:r>
      <w:r w:rsidR="00384DDF" w:rsidRPr="006C5557">
        <w:rPr>
          <w:rFonts w:asciiTheme="minorHAnsi" w:hAnsiTheme="minorHAnsi"/>
        </w:rPr>
        <w:t>1</w:t>
      </w:r>
      <w:r w:rsidR="00DE2468" w:rsidRPr="006C5557">
        <w:rPr>
          <w:rFonts w:asciiTheme="minorHAnsi" w:hAnsiTheme="minorHAnsi"/>
        </w:rPr>
        <w:t>5</w:t>
      </w:r>
      <w:r w:rsidRPr="006C5557">
        <w:rPr>
          <w:rFonts w:asciiTheme="minorHAnsi" w:hAnsiTheme="minorHAnsi"/>
        </w:rPr>
        <w:t>% (Individual)</w:t>
      </w:r>
    </w:p>
    <w:p w14:paraId="47294B00" w14:textId="0D99CAA0" w:rsidR="00A600F2" w:rsidRPr="006C5557" w:rsidRDefault="00A600F2" w:rsidP="00ED4632">
      <w:pPr>
        <w:widowControl w:val="0"/>
        <w:tabs>
          <w:tab w:val="left" w:pos="3240"/>
          <w:tab w:val="left" w:pos="3720"/>
        </w:tabs>
        <w:autoSpaceDE w:val="0"/>
        <w:autoSpaceDN w:val="0"/>
        <w:adjustRightInd w:val="0"/>
        <w:ind w:left="2340" w:hanging="2300"/>
        <w:jc w:val="both"/>
        <w:rPr>
          <w:rFonts w:asciiTheme="minorHAnsi" w:hAnsiTheme="minorHAnsi"/>
        </w:rPr>
      </w:pPr>
      <w:r w:rsidRPr="006C5557">
        <w:rPr>
          <w:rFonts w:asciiTheme="minorHAnsi" w:hAnsiTheme="minorHAnsi"/>
        </w:rPr>
        <w:t>Toolkit Write-up</w:t>
      </w:r>
      <w:r w:rsidRPr="006C5557">
        <w:rPr>
          <w:rFonts w:asciiTheme="minorHAnsi" w:hAnsiTheme="minorHAnsi"/>
        </w:rPr>
        <w:tab/>
      </w:r>
      <w:r w:rsidRPr="006C5557">
        <w:rPr>
          <w:rFonts w:asciiTheme="minorHAnsi" w:hAnsiTheme="minorHAnsi"/>
        </w:rPr>
        <w:tab/>
      </w:r>
      <w:r w:rsidR="002C45B2" w:rsidRPr="006C5557">
        <w:rPr>
          <w:rFonts w:asciiTheme="minorHAnsi" w:hAnsiTheme="minorHAnsi"/>
        </w:rPr>
        <w:t>2</w:t>
      </w:r>
      <w:r w:rsidR="00DE2468" w:rsidRPr="006C5557">
        <w:rPr>
          <w:rFonts w:asciiTheme="minorHAnsi" w:hAnsiTheme="minorHAnsi"/>
        </w:rPr>
        <w:t>5</w:t>
      </w:r>
      <w:r w:rsidRPr="006C5557">
        <w:rPr>
          <w:rFonts w:asciiTheme="minorHAnsi" w:hAnsiTheme="minorHAnsi"/>
        </w:rPr>
        <w:t>% (Individual)</w:t>
      </w:r>
    </w:p>
    <w:p w14:paraId="4D4343AD" w14:textId="3EC1A376" w:rsidR="00ED4632" w:rsidRPr="006C5557" w:rsidRDefault="00ED4632" w:rsidP="00ED4632">
      <w:pPr>
        <w:widowControl w:val="0"/>
        <w:tabs>
          <w:tab w:val="left" w:pos="3240"/>
          <w:tab w:val="left" w:pos="3720"/>
        </w:tabs>
        <w:autoSpaceDE w:val="0"/>
        <w:autoSpaceDN w:val="0"/>
        <w:adjustRightInd w:val="0"/>
        <w:ind w:left="40" w:hanging="20"/>
        <w:jc w:val="both"/>
        <w:rPr>
          <w:rFonts w:asciiTheme="minorHAnsi" w:hAnsiTheme="minorHAnsi"/>
        </w:rPr>
      </w:pPr>
      <w:r w:rsidRPr="006C5557">
        <w:rPr>
          <w:rFonts w:asciiTheme="minorHAnsi" w:hAnsiTheme="minorHAnsi"/>
        </w:rPr>
        <w:t>Case Write-ups (</w:t>
      </w:r>
      <w:r w:rsidR="00A600F2" w:rsidRPr="006C5557">
        <w:rPr>
          <w:rFonts w:asciiTheme="minorHAnsi" w:hAnsiTheme="minorHAnsi"/>
        </w:rPr>
        <w:t>4</w:t>
      </w:r>
      <w:r w:rsidRPr="006C5557">
        <w:rPr>
          <w:rFonts w:asciiTheme="minorHAnsi" w:hAnsiTheme="minorHAnsi"/>
        </w:rPr>
        <w:t>)</w:t>
      </w:r>
      <w:r w:rsidRPr="006C5557">
        <w:rPr>
          <w:rFonts w:asciiTheme="minorHAnsi" w:hAnsiTheme="minorHAnsi"/>
        </w:rPr>
        <w:tab/>
      </w:r>
      <w:r w:rsidR="009B13BA" w:rsidRPr="006C5557">
        <w:rPr>
          <w:rFonts w:asciiTheme="minorHAnsi" w:hAnsiTheme="minorHAnsi"/>
        </w:rPr>
        <w:t>44</w:t>
      </w:r>
      <w:r w:rsidRPr="006C5557">
        <w:rPr>
          <w:rFonts w:asciiTheme="minorHAnsi" w:hAnsiTheme="minorHAnsi"/>
        </w:rPr>
        <w:t>% (Team)</w:t>
      </w:r>
    </w:p>
    <w:p w14:paraId="2B7196FC" w14:textId="0A16F44E" w:rsidR="009B13BA" w:rsidRPr="006C5557" w:rsidRDefault="009B13BA" w:rsidP="00ED4632">
      <w:pPr>
        <w:widowControl w:val="0"/>
        <w:tabs>
          <w:tab w:val="left" w:pos="3240"/>
          <w:tab w:val="left" w:pos="3720"/>
        </w:tabs>
        <w:autoSpaceDE w:val="0"/>
        <w:autoSpaceDN w:val="0"/>
        <w:adjustRightInd w:val="0"/>
        <w:ind w:left="40" w:hanging="20"/>
        <w:jc w:val="both"/>
        <w:rPr>
          <w:rFonts w:asciiTheme="minorHAnsi" w:hAnsiTheme="minorHAnsi"/>
        </w:rPr>
      </w:pPr>
      <w:r w:rsidRPr="006C5557">
        <w:rPr>
          <w:rFonts w:asciiTheme="minorHAnsi" w:hAnsiTheme="minorHAnsi"/>
        </w:rPr>
        <w:t xml:space="preserve">Final </w:t>
      </w:r>
      <w:r w:rsidR="003C5784">
        <w:rPr>
          <w:rFonts w:asciiTheme="minorHAnsi" w:hAnsiTheme="minorHAnsi"/>
        </w:rPr>
        <w:t>Exam</w:t>
      </w:r>
      <w:r w:rsidRPr="006C5557">
        <w:rPr>
          <w:rFonts w:asciiTheme="minorHAnsi" w:hAnsiTheme="minorHAnsi"/>
        </w:rPr>
        <w:tab/>
        <w:t>16% (</w:t>
      </w:r>
      <w:r w:rsidR="003C5784">
        <w:rPr>
          <w:rFonts w:asciiTheme="minorHAnsi" w:hAnsiTheme="minorHAnsi"/>
        </w:rPr>
        <w:t>Individual</w:t>
      </w:r>
      <w:r w:rsidRPr="006C5557">
        <w:rPr>
          <w:rFonts w:asciiTheme="minorHAnsi" w:hAnsiTheme="minorHAnsi"/>
        </w:rPr>
        <w:t>)</w:t>
      </w:r>
      <w:r w:rsidRPr="006C5557">
        <w:rPr>
          <w:rFonts w:asciiTheme="minorHAnsi" w:hAnsiTheme="minorHAnsi"/>
        </w:rPr>
        <w:tab/>
      </w:r>
    </w:p>
    <w:p w14:paraId="4BE8E37E" w14:textId="595290E7" w:rsidR="008F0FD3" w:rsidRPr="006C5557" w:rsidRDefault="008F0FD3" w:rsidP="00ED4632">
      <w:pPr>
        <w:widowControl w:val="0"/>
        <w:tabs>
          <w:tab w:val="left" w:pos="3240"/>
          <w:tab w:val="left" w:pos="3720"/>
        </w:tabs>
        <w:autoSpaceDE w:val="0"/>
        <w:autoSpaceDN w:val="0"/>
        <w:adjustRightInd w:val="0"/>
        <w:ind w:left="40" w:hanging="20"/>
        <w:jc w:val="both"/>
        <w:rPr>
          <w:rFonts w:asciiTheme="minorHAnsi" w:hAnsiTheme="minorHAnsi"/>
        </w:rPr>
      </w:pPr>
    </w:p>
    <w:p w14:paraId="28881D64" w14:textId="77777777" w:rsidR="00ED4632" w:rsidRPr="006C5557" w:rsidRDefault="00ED4632" w:rsidP="00ED4632">
      <w:pPr>
        <w:widowControl w:val="0"/>
        <w:tabs>
          <w:tab w:val="left" w:pos="3240"/>
          <w:tab w:val="left" w:pos="3720"/>
        </w:tabs>
        <w:autoSpaceDE w:val="0"/>
        <w:autoSpaceDN w:val="0"/>
        <w:adjustRightInd w:val="0"/>
        <w:ind w:left="2340" w:hanging="2300"/>
        <w:jc w:val="both"/>
        <w:rPr>
          <w:rFonts w:asciiTheme="minorHAnsi" w:hAnsiTheme="minorHAnsi"/>
        </w:rPr>
      </w:pPr>
    </w:p>
    <w:p w14:paraId="7959EDF6" w14:textId="17C921F4" w:rsidR="00ED4632" w:rsidRPr="006C5557" w:rsidRDefault="00ED4632" w:rsidP="00693952">
      <w:pPr>
        <w:rPr>
          <w:rFonts w:asciiTheme="minorHAnsi" w:hAnsiTheme="minorHAnsi"/>
          <w:b/>
          <w:bCs/>
          <w:i/>
          <w:iCs/>
        </w:rPr>
      </w:pPr>
      <w:r w:rsidRPr="006C5557">
        <w:rPr>
          <w:rFonts w:asciiTheme="minorHAnsi" w:hAnsiTheme="minorHAnsi"/>
          <w:b/>
          <w:bCs/>
          <w:i/>
          <w:iCs/>
        </w:rPr>
        <w:br w:type="page"/>
      </w:r>
    </w:p>
    <w:p w14:paraId="650417E8" w14:textId="77777777" w:rsidR="00EC2EF4" w:rsidRPr="006C5557" w:rsidRDefault="00EC2EF4" w:rsidP="00EC2EF4">
      <w:pPr>
        <w:rPr>
          <w:rFonts w:asciiTheme="minorHAnsi" w:hAnsiTheme="minorHAnsi"/>
          <w:b/>
          <w:noProof/>
        </w:rPr>
      </w:pPr>
      <w:r w:rsidRPr="006C5557">
        <w:rPr>
          <w:rFonts w:asciiTheme="minorHAnsi" w:hAnsiTheme="minorHAnsi"/>
          <w:b/>
          <w:noProof/>
        </w:rPr>
        <w:lastRenderedPageBreak/>
        <w:t>Class Schedule</w:t>
      </w:r>
    </w:p>
    <w:p w14:paraId="6915FFA3" w14:textId="77777777" w:rsidR="00EC2EF4" w:rsidRPr="006C5557" w:rsidRDefault="00EC2EF4" w:rsidP="00EC2EF4">
      <w:pPr>
        <w:rPr>
          <w:rFonts w:asciiTheme="minorHAnsi" w:hAnsiTheme="minorHAnsi"/>
        </w:rPr>
      </w:pPr>
    </w:p>
    <w:tbl>
      <w:tblPr>
        <w:tblW w:w="10073" w:type="dxa"/>
        <w:tblInd w:w="-550" w:type="dxa"/>
        <w:tblLook w:val="04A0" w:firstRow="1" w:lastRow="0" w:firstColumn="1" w:lastColumn="0" w:noHBand="0" w:noVBand="1"/>
      </w:tblPr>
      <w:tblGrid>
        <w:gridCol w:w="810"/>
        <w:gridCol w:w="5580"/>
        <w:gridCol w:w="2755"/>
        <w:gridCol w:w="928"/>
      </w:tblGrid>
      <w:tr w:rsidR="00B12FA6" w14:paraId="4D79F822" w14:textId="77777777" w:rsidTr="00B12FA6">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D13B000" w14:textId="77777777" w:rsidR="00BD16ED" w:rsidRDefault="00BD16ED">
            <w:pPr>
              <w:rPr>
                <w:b/>
                <w:bCs/>
                <w:color w:val="000000"/>
                <w:sz w:val="20"/>
                <w:szCs w:val="20"/>
              </w:rPr>
            </w:pPr>
            <w:r>
              <w:rPr>
                <w:b/>
                <w:bCs/>
                <w:color w:val="000000"/>
                <w:sz w:val="20"/>
                <w:szCs w:val="20"/>
              </w:rPr>
              <w:t>Week</w:t>
            </w:r>
          </w:p>
        </w:tc>
        <w:tc>
          <w:tcPr>
            <w:tcW w:w="5580" w:type="dxa"/>
            <w:tcBorders>
              <w:top w:val="single" w:sz="8" w:space="0" w:color="auto"/>
              <w:left w:val="nil"/>
              <w:bottom w:val="single" w:sz="8" w:space="0" w:color="auto"/>
              <w:right w:val="single" w:sz="8" w:space="0" w:color="auto"/>
            </w:tcBorders>
            <w:shd w:val="clear" w:color="000000" w:fill="FFFFFF"/>
            <w:noWrap/>
            <w:vAlign w:val="center"/>
            <w:hideMark/>
          </w:tcPr>
          <w:p w14:paraId="1753A799" w14:textId="77777777" w:rsidR="00BD16ED" w:rsidRDefault="00BD16ED">
            <w:pPr>
              <w:rPr>
                <w:b/>
                <w:bCs/>
                <w:color w:val="000000"/>
                <w:sz w:val="20"/>
                <w:szCs w:val="20"/>
              </w:rPr>
            </w:pPr>
            <w:r>
              <w:rPr>
                <w:b/>
                <w:bCs/>
                <w:color w:val="000000"/>
                <w:sz w:val="20"/>
                <w:szCs w:val="20"/>
              </w:rPr>
              <w:t>Topic</w:t>
            </w:r>
          </w:p>
        </w:tc>
        <w:tc>
          <w:tcPr>
            <w:tcW w:w="2755" w:type="dxa"/>
            <w:tcBorders>
              <w:top w:val="single" w:sz="8" w:space="0" w:color="auto"/>
              <w:left w:val="nil"/>
              <w:bottom w:val="single" w:sz="8" w:space="0" w:color="auto"/>
              <w:right w:val="single" w:sz="8" w:space="0" w:color="auto"/>
            </w:tcBorders>
            <w:shd w:val="clear" w:color="000000" w:fill="FFFFFF"/>
            <w:noWrap/>
            <w:vAlign w:val="center"/>
            <w:hideMark/>
          </w:tcPr>
          <w:p w14:paraId="7F5169E0" w14:textId="6237D41A" w:rsidR="00BD16ED" w:rsidRDefault="00BD16ED">
            <w:pPr>
              <w:rPr>
                <w:b/>
                <w:bCs/>
                <w:color w:val="000000"/>
                <w:sz w:val="20"/>
                <w:szCs w:val="20"/>
              </w:rPr>
            </w:pPr>
            <w:r>
              <w:rPr>
                <w:b/>
                <w:bCs/>
                <w:color w:val="000000"/>
                <w:sz w:val="20"/>
                <w:szCs w:val="20"/>
              </w:rPr>
              <w:t>Assignment</w:t>
            </w:r>
          </w:p>
        </w:tc>
        <w:tc>
          <w:tcPr>
            <w:tcW w:w="928" w:type="dxa"/>
            <w:tcBorders>
              <w:top w:val="single" w:sz="8" w:space="0" w:color="auto"/>
              <w:left w:val="nil"/>
              <w:bottom w:val="single" w:sz="8" w:space="0" w:color="auto"/>
              <w:right w:val="single" w:sz="8" w:space="0" w:color="auto"/>
            </w:tcBorders>
            <w:shd w:val="clear" w:color="000000" w:fill="FFFFFF"/>
            <w:vAlign w:val="center"/>
            <w:hideMark/>
          </w:tcPr>
          <w:p w14:paraId="7157B9A6" w14:textId="77777777" w:rsidR="00BD16ED" w:rsidRDefault="00BD16ED">
            <w:pPr>
              <w:rPr>
                <w:b/>
                <w:bCs/>
                <w:color w:val="000000"/>
                <w:sz w:val="20"/>
                <w:szCs w:val="20"/>
              </w:rPr>
            </w:pPr>
            <w:r>
              <w:rPr>
                <w:b/>
                <w:bCs/>
                <w:color w:val="000000"/>
                <w:sz w:val="20"/>
                <w:szCs w:val="20"/>
              </w:rPr>
              <w:t>Chapter</w:t>
            </w:r>
          </w:p>
        </w:tc>
      </w:tr>
      <w:tr w:rsidR="00BD16ED" w14:paraId="0993BA67"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5B3120AB" w14:textId="77777777" w:rsidR="00BD16ED" w:rsidRDefault="00BD16ED">
            <w:pPr>
              <w:rPr>
                <w:color w:val="000000"/>
                <w:sz w:val="20"/>
                <w:szCs w:val="20"/>
              </w:rPr>
            </w:pPr>
            <w:r>
              <w:rPr>
                <w:color w:val="000000"/>
                <w:sz w:val="20"/>
                <w:szCs w:val="20"/>
              </w:rPr>
              <w:t>1.1</w:t>
            </w:r>
          </w:p>
        </w:tc>
        <w:tc>
          <w:tcPr>
            <w:tcW w:w="5580" w:type="dxa"/>
            <w:tcBorders>
              <w:top w:val="nil"/>
              <w:left w:val="nil"/>
              <w:bottom w:val="single" w:sz="8" w:space="0" w:color="auto"/>
              <w:right w:val="single" w:sz="8" w:space="0" w:color="auto"/>
            </w:tcBorders>
            <w:shd w:val="clear" w:color="000000" w:fill="FFFFFF"/>
            <w:noWrap/>
            <w:vAlign w:val="center"/>
            <w:hideMark/>
          </w:tcPr>
          <w:p w14:paraId="06BF24AE" w14:textId="77777777" w:rsidR="00BD16ED" w:rsidRDefault="00BD16ED">
            <w:pPr>
              <w:rPr>
                <w:color w:val="000000"/>
                <w:sz w:val="20"/>
                <w:szCs w:val="20"/>
              </w:rPr>
            </w:pPr>
            <w:r>
              <w:rPr>
                <w:color w:val="000000"/>
                <w:sz w:val="20"/>
                <w:szCs w:val="20"/>
              </w:rPr>
              <w:t>Overview and Benefits of Marketing Strategy</w:t>
            </w:r>
          </w:p>
        </w:tc>
        <w:tc>
          <w:tcPr>
            <w:tcW w:w="2755" w:type="dxa"/>
            <w:tcBorders>
              <w:top w:val="nil"/>
              <w:left w:val="nil"/>
              <w:bottom w:val="single" w:sz="8" w:space="0" w:color="auto"/>
              <w:right w:val="single" w:sz="8" w:space="0" w:color="auto"/>
            </w:tcBorders>
            <w:shd w:val="clear" w:color="000000" w:fill="FFFFFF"/>
            <w:noWrap/>
            <w:vAlign w:val="center"/>
            <w:hideMark/>
          </w:tcPr>
          <w:p w14:paraId="6DEED18B"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7DE9B362" w14:textId="77777777" w:rsidR="00BD16ED" w:rsidRDefault="00BD16ED">
            <w:pPr>
              <w:rPr>
                <w:color w:val="000000"/>
                <w:sz w:val="20"/>
                <w:szCs w:val="20"/>
              </w:rPr>
            </w:pPr>
            <w:r>
              <w:rPr>
                <w:color w:val="000000"/>
                <w:sz w:val="20"/>
                <w:szCs w:val="20"/>
              </w:rPr>
              <w:t>1</w:t>
            </w:r>
          </w:p>
        </w:tc>
      </w:tr>
      <w:tr w:rsidR="00BD16ED" w14:paraId="5D2FBC77"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0362C861" w14:textId="77777777" w:rsidR="00BD16ED" w:rsidRDefault="00BD16ED">
            <w:pPr>
              <w:rPr>
                <w:color w:val="000000"/>
                <w:sz w:val="20"/>
                <w:szCs w:val="20"/>
              </w:rPr>
            </w:pPr>
            <w:r>
              <w:rPr>
                <w:color w:val="000000"/>
                <w:sz w:val="20"/>
                <w:szCs w:val="20"/>
              </w:rPr>
              <w:t>1.2</w:t>
            </w:r>
          </w:p>
        </w:tc>
        <w:tc>
          <w:tcPr>
            <w:tcW w:w="5580" w:type="dxa"/>
            <w:tcBorders>
              <w:top w:val="nil"/>
              <w:left w:val="nil"/>
              <w:bottom w:val="single" w:sz="8" w:space="0" w:color="auto"/>
              <w:right w:val="single" w:sz="8" w:space="0" w:color="auto"/>
            </w:tcBorders>
            <w:shd w:val="clear" w:color="000000" w:fill="FFFFFF"/>
            <w:noWrap/>
            <w:vAlign w:val="center"/>
            <w:hideMark/>
          </w:tcPr>
          <w:p w14:paraId="7FADE53C" w14:textId="77777777" w:rsidR="00BD16ED" w:rsidRDefault="00BD16ED">
            <w:pPr>
              <w:rPr>
                <w:color w:val="000000"/>
                <w:sz w:val="20"/>
                <w:szCs w:val="20"/>
              </w:rPr>
            </w:pPr>
            <w:r>
              <w:rPr>
                <w:color w:val="000000"/>
                <w:sz w:val="20"/>
                <w:szCs w:val="20"/>
              </w:rPr>
              <w:t>Overview of First Principle’s Approach (</w:t>
            </w:r>
            <w:proofErr w:type="spellStart"/>
            <w:r>
              <w:rPr>
                <w:color w:val="000000"/>
                <w:sz w:val="20"/>
                <w:szCs w:val="20"/>
              </w:rPr>
              <w:t>con’t</w:t>
            </w:r>
            <w:proofErr w:type="spellEnd"/>
            <w:r>
              <w:rPr>
                <w:color w:val="000000"/>
                <w:sz w:val="20"/>
                <w:szCs w:val="20"/>
              </w:rPr>
              <w:t>)</w:t>
            </w:r>
          </w:p>
        </w:tc>
        <w:tc>
          <w:tcPr>
            <w:tcW w:w="2755" w:type="dxa"/>
            <w:tcBorders>
              <w:top w:val="nil"/>
              <w:left w:val="nil"/>
              <w:bottom w:val="single" w:sz="8" w:space="0" w:color="auto"/>
              <w:right w:val="single" w:sz="8" w:space="0" w:color="auto"/>
            </w:tcBorders>
            <w:shd w:val="clear" w:color="000000" w:fill="FFFFFF"/>
            <w:noWrap/>
            <w:vAlign w:val="center"/>
            <w:hideMark/>
          </w:tcPr>
          <w:p w14:paraId="4D40313F"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32AE20DE" w14:textId="77777777" w:rsidR="00BD16ED" w:rsidRDefault="00BD16ED">
            <w:pPr>
              <w:rPr>
                <w:color w:val="000000"/>
                <w:sz w:val="20"/>
                <w:szCs w:val="20"/>
              </w:rPr>
            </w:pPr>
            <w:r>
              <w:rPr>
                <w:color w:val="000000"/>
                <w:sz w:val="20"/>
                <w:szCs w:val="20"/>
              </w:rPr>
              <w:t>1</w:t>
            </w:r>
          </w:p>
        </w:tc>
      </w:tr>
      <w:tr w:rsidR="00BD16ED" w14:paraId="45A00C41"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0B5DF694" w14:textId="77777777" w:rsidR="00BD16ED" w:rsidRDefault="00BD16ED">
            <w:pPr>
              <w:rPr>
                <w:color w:val="000000"/>
                <w:sz w:val="20"/>
                <w:szCs w:val="20"/>
              </w:rPr>
            </w:pPr>
            <w:r>
              <w:rPr>
                <w:color w:val="000000"/>
                <w:sz w:val="20"/>
                <w:szCs w:val="20"/>
              </w:rPr>
              <w:t>2.1</w:t>
            </w:r>
          </w:p>
        </w:tc>
        <w:tc>
          <w:tcPr>
            <w:tcW w:w="5580" w:type="dxa"/>
            <w:tcBorders>
              <w:top w:val="nil"/>
              <w:left w:val="nil"/>
              <w:bottom w:val="single" w:sz="8" w:space="0" w:color="auto"/>
              <w:right w:val="single" w:sz="8" w:space="0" w:color="auto"/>
            </w:tcBorders>
            <w:shd w:val="clear" w:color="000000" w:fill="FFFFFF"/>
            <w:noWrap/>
            <w:vAlign w:val="center"/>
            <w:hideMark/>
          </w:tcPr>
          <w:p w14:paraId="2EC93AF9" w14:textId="77777777" w:rsidR="00BD16ED" w:rsidRDefault="00BD16ED">
            <w:pPr>
              <w:rPr>
                <w:color w:val="000000"/>
                <w:sz w:val="20"/>
                <w:szCs w:val="20"/>
              </w:rPr>
            </w:pPr>
            <w:r>
              <w:rPr>
                <w:color w:val="000000"/>
                <w:sz w:val="20"/>
                <w:szCs w:val="20"/>
              </w:rPr>
              <w:t xml:space="preserve">Overview of </w:t>
            </w:r>
            <w:proofErr w:type="spellStart"/>
            <w:r>
              <w:rPr>
                <w:color w:val="000000"/>
                <w:sz w:val="20"/>
                <w:szCs w:val="20"/>
              </w:rPr>
              <w:t>MeXL</w:t>
            </w:r>
            <w:proofErr w:type="spellEnd"/>
          </w:p>
        </w:tc>
        <w:tc>
          <w:tcPr>
            <w:tcW w:w="2755" w:type="dxa"/>
            <w:tcBorders>
              <w:top w:val="nil"/>
              <w:left w:val="nil"/>
              <w:bottom w:val="single" w:sz="8" w:space="0" w:color="auto"/>
              <w:right w:val="single" w:sz="8" w:space="0" w:color="auto"/>
            </w:tcBorders>
            <w:shd w:val="clear" w:color="000000" w:fill="FFFFFF"/>
            <w:noWrap/>
            <w:vAlign w:val="center"/>
            <w:hideMark/>
          </w:tcPr>
          <w:p w14:paraId="78E82690"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7D1C66C8" w14:textId="77777777" w:rsidR="00BD16ED" w:rsidRDefault="00BD16ED">
            <w:pPr>
              <w:rPr>
                <w:color w:val="000000"/>
                <w:sz w:val="20"/>
                <w:szCs w:val="20"/>
              </w:rPr>
            </w:pPr>
            <w:r>
              <w:rPr>
                <w:color w:val="000000"/>
                <w:sz w:val="20"/>
                <w:szCs w:val="20"/>
              </w:rPr>
              <w:t>2</w:t>
            </w:r>
          </w:p>
        </w:tc>
      </w:tr>
      <w:tr w:rsidR="00BD16ED" w14:paraId="4077874F"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2802EE5C" w14:textId="77777777" w:rsidR="00BD16ED" w:rsidRDefault="00BD16ED">
            <w:pPr>
              <w:rPr>
                <w:color w:val="000000"/>
                <w:sz w:val="20"/>
                <w:szCs w:val="20"/>
              </w:rPr>
            </w:pPr>
            <w:r>
              <w:rPr>
                <w:color w:val="000000"/>
                <w:sz w:val="20"/>
                <w:szCs w:val="20"/>
              </w:rPr>
              <w:t>2.2</w:t>
            </w:r>
          </w:p>
        </w:tc>
        <w:tc>
          <w:tcPr>
            <w:tcW w:w="5580" w:type="dxa"/>
            <w:tcBorders>
              <w:top w:val="nil"/>
              <w:left w:val="nil"/>
              <w:bottom w:val="single" w:sz="8" w:space="0" w:color="auto"/>
              <w:right w:val="single" w:sz="8" w:space="0" w:color="auto"/>
            </w:tcBorders>
            <w:shd w:val="clear" w:color="000000" w:fill="FFFFFF"/>
            <w:noWrap/>
            <w:vAlign w:val="center"/>
            <w:hideMark/>
          </w:tcPr>
          <w:p w14:paraId="137F039C" w14:textId="77777777" w:rsidR="00BD16ED" w:rsidRDefault="00BD16ED">
            <w:pPr>
              <w:rPr>
                <w:color w:val="000000"/>
                <w:sz w:val="20"/>
                <w:szCs w:val="20"/>
              </w:rPr>
            </w:pPr>
            <w:r>
              <w:rPr>
                <w:color w:val="000000"/>
                <w:sz w:val="20"/>
                <w:szCs w:val="20"/>
              </w:rPr>
              <w:t xml:space="preserve">Principle 1: All Customers are Different </w:t>
            </w:r>
            <w:r>
              <w:rPr>
                <w:rFonts w:ascii="Symbol" w:hAnsi="Symbol"/>
                <w:color w:val="000000"/>
                <w:sz w:val="20"/>
                <w:szCs w:val="20"/>
              </w:rPr>
              <w:t></w:t>
            </w:r>
            <w:r>
              <w:rPr>
                <w:color w:val="000000"/>
                <w:sz w:val="20"/>
                <w:szCs w:val="20"/>
              </w:rPr>
              <w:t xml:space="preserve"> Managing Customer Heterogeneity</w:t>
            </w:r>
          </w:p>
        </w:tc>
        <w:tc>
          <w:tcPr>
            <w:tcW w:w="2755" w:type="dxa"/>
            <w:tcBorders>
              <w:top w:val="nil"/>
              <w:left w:val="nil"/>
              <w:bottom w:val="single" w:sz="8" w:space="0" w:color="auto"/>
              <w:right w:val="single" w:sz="8" w:space="0" w:color="auto"/>
            </w:tcBorders>
            <w:shd w:val="clear" w:color="000000" w:fill="FFFFFF"/>
            <w:noWrap/>
            <w:vAlign w:val="center"/>
            <w:hideMark/>
          </w:tcPr>
          <w:p w14:paraId="0ABA3664"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24C54F14" w14:textId="77777777" w:rsidR="00BD16ED" w:rsidRDefault="00BD16ED">
            <w:pPr>
              <w:rPr>
                <w:color w:val="000000"/>
                <w:sz w:val="20"/>
                <w:szCs w:val="20"/>
              </w:rPr>
            </w:pPr>
            <w:r>
              <w:rPr>
                <w:color w:val="000000"/>
                <w:sz w:val="20"/>
                <w:szCs w:val="20"/>
              </w:rPr>
              <w:t>2</w:t>
            </w:r>
          </w:p>
        </w:tc>
      </w:tr>
      <w:tr w:rsidR="00BD16ED" w14:paraId="52B5C3FD"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448EC1C2" w14:textId="77777777" w:rsidR="00BD16ED" w:rsidRDefault="00BD16ED">
            <w:pPr>
              <w:rPr>
                <w:color w:val="000000"/>
                <w:sz w:val="20"/>
                <w:szCs w:val="20"/>
              </w:rPr>
            </w:pPr>
            <w:r>
              <w:rPr>
                <w:color w:val="000000"/>
                <w:sz w:val="20"/>
                <w:szCs w:val="20"/>
              </w:rPr>
              <w:t>3.1</w:t>
            </w:r>
          </w:p>
        </w:tc>
        <w:tc>
          <w:tcPr>
            <w:tcW w:w="5580" w:type="dxa"/>
            <w:tcBorders>
              <w:top w:val="nil"/>
              <w:left w:val="nil"/>
              <w:bottom w:val="single" w:sz="8" w:space="0" w:color="auto"/>
              <w:right w:val="single" w:sz="8" w:space="0" w:color="auto"/>
            </w:tcBorders>
            <w:shd w:val="clear" w:color="000000" w:fill="FFFFFF"/>
            <w:noWrap/>
            <w:vAlign w:val="center"/>
            <w:hideMark/>
          </w:tcPr>
          <w:p w14:paraId="33AC0412" w14:textId="77777777" w:rsidR="00BD16ED" w:rsidRDefault="00BD16ED">
            <w:pPr>
              <w:rPr>
                <w:color w:val="000000"/>
                <w:sz w:val="20"/>
                <w:szCs w:val="20"/>
              </w:rPr>
            </w:pPr>
            <w:r>
              <w:rPr>
                <w:color w:val="000000"/>
                <w:sz w:val="20"/>
                <w:szCs w:val="20"/>
              </w:rPr>
              <w:t xml:space="preserve">Cluster </w:t>
            </w:r>
            <w:proofErr w:type="spellStart"/>
            <w:r>
              <w:rPr>
                <w:color w:val="000000"/>
                <w:sz w:val="20"/>
                <w:szCs w:val="20"/>
              </w:rPr>
              <w:t>Anlaysis</w:t>
            </w:r>
            <w:proofErr w:type="spellEnd"/>
            <w:r>
              <w:rPr>
                <w:color w:val="000000"/>
                <w:sz w:val="20"/>
                <w:szCs w:val="20"/>
              </w:rPr>
              <w:t xml:space="preserve"> Concept</w:t>
            </w:r>
          </w:p>
        </w:tc>
        <w:tc>
          <w:tcPr>
            <w:tcW w:w="2755" w:type="dxa"/>
            <w:tcBorders>
              <w:top w:val="nil"/>
              <w:left w:val="nil"/>
              <w:bottom w:val="single" w:sz="8" w:space="0" w:color="auto"/>
              <w:right w:val="single" w:sz="8" w:space="0" w:color="auto"/>
            </w:tcBorders>
            <w:shd w:val="clear" w:color="000000" w:fill="FFFFFF"/>
            <w:noWrap/>
            <w:vAlign w:val="center"/>
            <w:hideMark/>
          </w:tcPr>
          <w:p w14:paraId="69250326"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4BF6B620" w14:textId="77777777" w:rsidR="00BD16ED" w:rsidRDefault="00BD16ED">
            <w:pPr>
              <w:rPr>
                <w:color w:val="000000"/>
                <w:sz w:val="20"/>
                <w:szCs w:val="20"/>
              </w:rPr>
            </w:pPr>
            <w:r>
              <w:rPr>
                <w:color w:val="000000"/>
                <w:sz w:val="20"/>
                <w:szCs w:val="20"/>
              </w:rPr>
              <w:t>2</w:t>
            </w:r>
          </w:p>
        </w:tc>
      </w:tr>
      <w:tr w:rsidR="00BD16ED" w14:paraId="77DB2284"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222C9D00" w14:textId="77777777" w:rsidR="00BD16ED" w:rsidRDefault="00BD16ED">
            <w:pPr>
              <w:rPr>
                <w:color w:val="000000"/>
                <w:sz w:val="20"/>
                <w:szCs w:val="20"/>
              </w:rPr>
            </w:pPr>
            <w:r>
              <w:rPr>
                <w:color w:val="000000"/>
                <w:sz w:val="20"/>
                <w:szCs w:val="20"/>
              </w:rPr>
              <w:t>3.2</w:t>
            </w:r>
          </w:p>
        </w:tc>
        <w:tc>
          <w:tcPr>
            <w:tcW w:w="5580" w:type="dxa"/>
            <w:tcBorders>
              <w:top w:val="nil"/>
              <w:left w:val="nil"/>
              <w:bottom w:val="single" w:sz="8" w:space="0" w:color="auto"/>
              <w:right w:val="single" w:sz="8" w:space="0" w:color="auto"/>
            </w:tcBorders>
            <w:shd w:val="clear" w:color="000000" w:fill="FFFFFF"/>
            <w:noWrap/>
            <w:vAlign w:val="center"/>
            <w:hideMark/>
          </w:tcPr>
          <w:p w14:paraId="248FC58B" w14:textId="77777777" w:rsidR="00BD16ED" w:rsidRDefault="00BD16ED">
            <w:pPr>
              <w:rPr>
                <w:color w:val="000000"/>
                <w:sz w:val="20"/>
                <w:szCs w:val="20"/>
              </w:rPr>
            </w:pPr>
            <w:r>
              <w:rPr>
                <w:color w:val="000000"/>
                <w:sz w:val="20"/>
                <w:szCs w:val="20"/>
              </w:rPr>
              <w:t xml:space="preserve">Cluster </w:t>
            </w:r>
            <w:proofErr w:type="spellStart"/>
            <w:r>
              <w:rPr>
                <w:color w:val="000000"/>
                <w:sz w:val="20"/>
                <w:szCs w:val="20"/>
              </w:rPr>
              <w:t>Anlaysis</w:t>
            </w:r>
            <w:proofErr w:type="spellEnd"/>
            <w:r>
              <w:rPr>
                <w:color w:val="000000"/>
                <w:sz w:val="20"/>
                <w:szCs w:val="20"/>
              </w:rPr>
              <w:t xml:space="preserve"> Demonstration</w:t>
            </w:r>
          </w:p>
        </w:tc>
        <w:tc>
          <w:tcPr>
            <w:tcW w:w="2755" w:type="dxa"/>
            <w:tcBorders>
              <w:top w:val="nil"/>
              <w:left w:val="nil"/>
              <w:bottom w:val="single" w:sz="8" w:space="0" w:color="auto"/>
              <w:right w:val="single" w:sz="8" w:space="0" w:color="auto"/>
            </w:tcBorders>
            <w:shd w:val="clear" w:color="000000" w:fill="FFFFFF"/>
            <w:noWrap/>
            <w:vAlign w:val="center"/>
            <w:hideMark/>
          </w:tcPr>
          <w:p w14:paraId="3A9A3658" w14:textId="77777777" w:rsidR="00BD16ED" w:rsidRDefault="00BD16ED">
            <w:pPr>
              <w:rPr>
                <w:color w:val="000000"/>
                <w:sz w:val="20"/>
                <w:szCs w:val="20"/>
              </w:rPr>
            </w:pPr>
            <w:proofErr w:type="spellStart"/>
            <w:r>
              <w:rPr>
                <w:color w:val="000000"/>
                <w:sz w:val="20"/>
                <w:szCs w:val="20"/>
              </w:rPr>
              <w:t>MeXL</w:t>
            </w:r>
            <w:proofErr w:type="spellEnd"/>
            <w:r>
              <w:rPr>
                <w:color w:val="000000"/>
                <w:sz w:val="20"/>
                <w:szCs w:val="20"/>
              </w:rPr>
              <w:t xml:space="preserve"> (</w:t>
            </w:r>
            <w:proofErr w:type="spellStart"/>
            <w:r>
              <w:rPr>
                <w:color w:val="000000"/>
                <w:sz w:val="20"/>
                <w:szCs w:val="20"/>
              </w:rPr>
              <w:t>Dentmax</w:t>
            </w:r>
            <w:proofErr w:type="spellEnd"/>
            <w:r>
              <w:rPr>
                <w:color w:val="000000"/>
                <w:sz w:val="20"/>
                <w:szCs w:val="20"/>
              </w:rPr>
              <w:t xml:space="preserve"> Case)</w:t>
            </w:r>
          </w:p>
        </w:tc>
        <w:tc>
          <w:tcPr>
            <w:tcW w:w="928" w:type="dxa"/>
            <w:tcBorders>
              <w:top w:val="nil"/>
              <w:left w:val="nil"/>
              <w:bottom w:val="single" w:sz="8" w:space="0" w:color="auto"/>
              <w:right w:val="single" w:sz="8" w:space="0" w:color="auto"/>
            </w:tcBorders>
            <w:shd w:val="clear" w:color="000000" w:fill="FFFFFF"/>
            <w:vAlign w:val="center"/>
            <w:hideMark/>
          </w:tcPr>
          <w:p w14:paraId="4923A76F" w14:textId="77777777" w:rsidR="00BD16ED" w:rsidRDefault="00BD16ED">
            <w:pPr>
              <w:rPr>
                <w:color w:val="000000"/>
                <w:sz w:val="20"/>
                <w:szCs w:val="20"/>
              </w:rPr>
            </w:pPr>
            <w:r>
              <w:rPr>
                <w:color w:val="000000"/>
                <w:sz w:val="20"/>
                <w:szCs w:val="20"/>
              </w:rPr>
              <w:t>2</w:t>
            </w:r>
          </w:p>
        </w:tc>
      </w:tr>
      <w:tr w:rsidR="00BD16ED" w14:paraId="03C9DAB1"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2CC80FF3" w14:textId="77777777" w:rsidR="00BD16ED" w:rsidRDefault="00BD16ED">
            <w:pPr>
              <w:rPr>
                <w:color w:val="000000"/>
                <w:sz w:val="20"/>
                <w:szCs w:val="20"/>
              </w:rPr>
            </w:pPr>
            <w:r>
              <w:rPr>
                <w:color w:val="000000"/>
                <w:sz w:val="20"/>
                <w:szCs w:val="20"/>
              </w:rPr>
              <w:t>4.1</w:t>
            </w:r>
          </w:p>
        </w:tc>
        <w:tc>
          <w:tcPr>
            <w:tcW w:w="5580" w:type="dxa"/>
            <w:tcBorders>
              <w:top w:val="nil"/>
              <w:left w:val="nil"/>
              <w:bottom w:val="single" w:sz="8" w:space="0" w:color="auto"/>
              <w:right w:val="single" w:sz="8" w:space="0" w:color="auto"/>
            </w:tcBorders>
            <w:shd w:val="clear" w:color="000000" w:fill="FFFFFF"/>
            <w:noWrap/>
            <w:vAlign w:val="center"/>
            <w:hideMark/>
          </w:tcPr>
          <w:p w14:paraId="1218A9A2" w14:textId="77777777" w:rsidR="00BD16ED" w:rsidRDefault="00BD16ED">
            <w:pPr>
              <w:rPr>
                <w:color w:val="000000"/>
                <w:sz w:val="20"/>
                <w:szCs w:val="20"/>
              </w:rPr>
            </w:pPr>
            <w:r>
              <w:rPr>
                <w:color w:val="000000"/>
                <w:sz w:val="20"/>
                <w:szCs w:val="20"/>
              </w:rPr>
              <w:t xml:space="preserve">Cluster </w:t>
            </w:r>
            <w:proofErr w:type="spellStart"/>
            <w:r>
              <w:rPr>
                <w:color w:val="000000"/>
                <w:sz w:val="20"/>
                <w:szCs w:val="20"/>
              </w:rPr>
              <w:t>Anlaysis</w:t>
            </w:r>
            <w:proofErr w:type="spellEnd"/>
            <w:r>
              <w:rPr>
                <w:color w:val="000000"/>
                <w:sz w:val="20"/>
                <w:szCs w:val="20"/>
              </w:rPr>
              <w:t xml:space="preserve"> Application Case</w:t>
            </w:r>
          </w:p>
        </w:tc>
        <w:tc>
          <w:tcPr>
            <w:tcW w:w="2755" w:type="dxa"/>
            <w:tcBorders>
              <w:top w:val="nil"/>
              <w:left w:val="nil"/>
              <w:bottom w:val="single" w:sz="8" w:space="0" w:color="auto"/>
              <w:right w:val="single" w:sz="8" w:space="0" w:color="auto"/>
            </w:tcBorders>
            <w:shd w:val="clear" w:color="000000" w:fill="FFFFFF"/>
            <w:noWrap/>
            <w:vAlign w:val="center"/>
            <w:hideMark/>
          </w:tcPr>
          <w:p w14:paraId="573062D9" w14:textId="77777777" w:rsidR="00BD16ED" w:rsidRDefault="00BD16ED">
            <w:pPr>
              <w:rPr>
                <w:color w:val="000000"/>
                <w:sz w:val="20"/>
                <w:szCs w:val="20"/>
              </w:rPr>
            </w:pPr>
            <w:r>
              <w:rPr>
                <w:color w:val="000000"/>
                <w:sz w:val="20"/>
                <w:szCs w:val="20"/>
              </w:rPr>
              <w:t>Pacific Case Assignment</w:t>
            </w:r>
          </w:p>
        </w:tc>
        <w:tc>
          <w:tcPr>
            <w:tcW w:w="928" w:type="dxa"/>
            <w:tcBorders>
              <w:top w:val="nil"/>
              <w:left w:val="nil"/>
              <w:bottom w:val="single" w:sz="8" w:space="0" w:color="auto"/>
              <w:right w:val="single" w:sz="8" w:space="0" w:color="auto"/>
            </w:tcBorders>
            <w:shd w:val="clear" w:color="000000" w:fill="FFFFFF"/>
            <w:vAlign w:val="center"/>
            <w:hideMark/>
          </w:tcPr>
          <w:p w14:paraId="764D051B" w14:textId="77777777" w:rsidR="00BD16ED" w:rsidRDefault="00BD16ED">
            <w:pPr>
              <w:rPr>
                <w:color w:val="000000"/>
                <w:sz w:val="20"/>
                <w:szCs w:val="20"/>
              </w:rPr>
            </w:pPr>
            <w:r>
              <w:rPr>
                <w:color w:val="000000"/>
                <w:sz w:val="20"/>
                <w:szCs w:val="20"/>
              </w:rPr>
              <w:t> </w:t>
            </w:r>
          </w:p>
        </w:tc>
      </w:tr>
      <w:tr w:rsidR="00BD16ED" w14:paraId="30C35E56"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71D771C5" w14:textId="77777777" w:rsidR="00BD16ED" w:rsidRDefault="00BD16ED">
            <w:pPr>
              <w:rPr>
                <w:color w:val="000000"/>
                <w:sz w:val="20"/>
                <w:szCs w:val="20"/>
              </w:rPr>
            </w:pPr>
            <w:r>
              <w:rPr>
                <w:color w:val="000000"/>
                <w:sz w:val="20"/>
                <w:szCs w:val="20"/>
              </w:rPr>
              <w:t>4.2</w:t>
            </w:r>
          </w:p>
        </w:tc>
        <w:tc>
          <w:tcPr>
            <w:tcW w:w="5580" w:type="dxa"/>
            <w:tcBorders>
              <w:top w:val="nil"/>
              <w:left w:val="nil"/>
              <w:bottom w:val="single" w:sz="8" w:space="0" w:color="auto"/>
              <w:right w:val="single" w:sz="8" w:space="0" w:color="auto"/>
            </w:tcBorders>
            <w:shd w:val="clear" w:color="000000" w:fill="FFFFFF"/>
            <w:noWrap/>
            <w:vAlign w:val="center"/>
            <w:hideMark/>
          </w:tcPr>
          <w:p w14:paraId="7134789E" w14:textId="77777777" w:rsidR="00BD16ED" w:rsidRDefault="00BD16ED">
            <w:pPr>
              <w:rPr>
                <w:color w:val="000000"/>
                <w:sz w:val="20"/>
                <w:szCs w:val="20"/>
              </w:rPr>
            </w:pPr>
            <w:r>
              <w:rPr>
                <w:color w:val="000000"/>
                <w:sz w:val="20"/>
                <w:szCs w:val="20"/>
              </w:rPr>
              <w:t>Positioning Maps Concepts and Demonstration</w:t>
            </w:r>
          </w:p>
        </w:tc>
        <w:tc>
          <w:tcPr>
            <w:tcW w:w="2755" w:type="dxa"/>
            <w:tcBorders>
              <w:top w:val="nil"/>
              <w:left w:val="nil"/>
              <w:bottom w:val="single" w:sz="8" w:space="0" w:color="auto"/>
              <w:right w:val="single" w:sz="8" w:space="0" w:color="auto"/>
            </w:tcBorders>
            <w:shd w:val="clear" w:color="000000" w:fill="FFFFFF"/>
            <w:noWrap/>
            <w:vAlign w:val="center"/>
            <w:hideMark/>
          </w:tcPr>
          <w:p w14:paraId="05042E87"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0C799E87" w14:textId="77777777" w:rsidR="00BD16ED" w:rsidRDefault="00BD16ED">
            <w:pPr>
              <w:rPr>
                <w:color w:val="000000"/>
                <w:sz w:val="20"/>
                <w:szCs w:val="20"/>
              </w:rPr>
            </w:pPr>
            <w:r>
              <w:rPr>
                <w:color w:val="000000"/>
                <w:sz w:val="20"/>
                <w:szCs w:val="20"/>
              </w:rPr>
              <w:t>2</w:t>
            </w:r>
          </w:p>
        </w:tc>
      </w:tr>
      <w:tr w:rsidR="00BD16ED" w14:paraId="37FFFCD3"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5206D30C" w14:textId="77777777" w:rsidR="00BD16ED" w:rsidRDefault="00BD16ED">
            <w:pPr>
              <w:rPr>
                <w:color w:val="000000"/>
                <w:sz w:val="20"/>
                <w:szCs w:val="20"/>
              </w:rPr>
            </w:pPr>
            <w:r>
              <w:rPr>
                <w:color w:val="000000"/>
                <w:sz w:val="20"/>
                <w:szCs w:val="20"/>
              </w:rPr>
              <w:t>5.1</w:t>
            </w:r>
          </w:p>
        </w:tc>
        <w:tc>
          <w:tcPr>
            <w:tcW w:w="5580" w:type="dxa"/>
            <w:tcBorders>
              <w:top w:val="nil"/>
              <w:left w:val="nil"/>
              <w:bottom w:val="single" w:sz="8" w:space="0" w:color="auto"/>
              <w:right w:val="single" w:sz="8" w:space="0" w:color="auto"/>
            </w:tcBorders>
            <w:shd w:val="clear" w:color="000000" w:fill="FFFFFF"/>
            <w:noWrap/>
            <w:vAlign w:val="center"/>
            <w:hideMark/>
          </w:tcPr>
          <w:p w14:paraId="6ADB49F9" w14:textId="77777777" w:rsidR="00BD16ED" w:rsidRDefault="00BD16ED">
            <w:pPr>
              <w:rPr>
                <w:color w:val="000000"/>
                <w:sz w:val="20"/>
                <w:szCs w:val="20"/>
              </w:rPr>
            </w:pPr>
            <w:r>
              <w:rPr>
                <w:color w:val="000000"/>
                <w:sz w:val="20"/>
                <w:szCs w:val="20"/>
              </w:rPr>
              <w:t>Positioning Maps Demonstration</w:t>
            </w:r>
          </w:p>
        </w:tc>
        <w:tc>
          <w:tcPr>
            <w:tcW w:w="2755" w:type="dxa"/>
            <w:tcBorders>
              <w:top w:val="nil"/>
              <w:left w:val="nil"/>
              <w:bottom w:val="single" w:sz="8" w:space="0" w:color="auto"/>
              <w:right w:val="single" w:sz="8" w:space="0" w:color="auto"/>
            </w:tcBorders>
            <w:shd w:val="clear" w:color="000000" w:fill="FFFFFF"/>
            <w:noWrap/>
            <w:vAlign w:val="center"/>
            <w:hideMark/>
          </w:tcPr>
          <w:p w14:paraId="79B1D4C2"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363C07B2" w14:textId="77777777" w:rsidR="00BD16ED" w:rsidRDefault="00BD16ED">
            <w:pPr>
              <w:rPr>
                <w:color w:val="000000"/>
                <w:sz w:val="20"/>
                <w:szCs w:val="20"/>
              </w:rPr>
            </w:pPr>
            <w:r>
              <w:rPr>
                <w:color w:val="000000"/>
                <w:sz w:val="20"/>
                <w:szCs w:val="20"/>
              </w:rPr>
              <w:t>3</w:t>
            </w:r>
          </w:p>
        </w:tc>
      </w:tr>
      <w:tr w:rsidR="00BD16ED" w14:paraId="48FB2D25"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7292F73A" w14:textId="77777777" w:rsidR="00BD16ED" w:rsidRDefault="00BD16ED">
            <w:pPr>
              <w:rPr>
                <w:color w:val="000000"/>
                <w:sz w:val="20"/>
                <w:szCs w:val="20"/>
              </w:rPr>
            </w:pPr>
            <w:r>
              <w:rPr>
                <w:color w:val="000000"/>
                <w:sz w:val="20"/>
                <w:szCs w:val="20"/>
              </w:rPr>
              <w:t>5.2</w:t>
            </w:r>
          </w:p>
        </w:tc>
        <w:tc>
          <w:tcPr>
            <w:tcW w:w="5580" w:type="dxa"/>
            <w:tcBorders>
              <w:top w:val="nil"/>
              <w:left w:val="nil"/>
              <w:bottom w:val="single" w:sz="8" w:space="0" w:color="auto"/>
              <w:right w:val="single" w:sz="8" w:space="0" w:color="auto"/>
            </w:tcBorders>
            <w:shd w:val="clear" w:color="000000" w:fill="FFFFFF"/>
            <w:noWrap/>
            <w:vAlign w:val="center"/>
            <w:hideMark/>
          </w:tcPr>
          <w:p w14:paraId="0B235E57" w14:textId="77777777" w:rsidR="00BD16ED" w:rsidRDefault="00BD16ED">
            <w:pPr>
              <w:rPr>
                <w:color w:val="000000"/>
                <w:sz w:val="20"/>
                <w:szCs w:val="20"/>
              </w:rPr>
            </w:pPr>
            <w:r>
              <w:rPr>
                <w:color w:val="000000"/>
                <w:sz w:val="20"/>
                <w:szCs w:val="20"/>
              </w:rPr>
              <w:t>Positioning Maps Applications Case</w:t>
            </w:r>
          </w:p>
        </w:tc>
        <w:tc>
          <w:tcPr>
            <w:tcW w:w="2755" w:type="dxa"/>
            <w:tcBorders>
              <w:top w:val="nil"/>
              <w:left w:val="nil"/>
              <w:bottom w:val="single" w:sz="8" w:space="0" w:color="auto"/>
              <w:right w:val="single" w:sz="8" w:space="0" w:color="auto"/>
            </w:tcBorders>
            <w:shd w:val="clear" w:color="000000" w:fill="FFFFFF"/>
            <w:noWrap/>
            <w:vAlign w:val="center"/>
            <w:hideMark/>
          </w:tcPr>
          <w:p w14:paraId="66E6E33B" w14:textId="77777777" w:rsidR="00BD16ED" w:rsidRDefault="00BD16ED">
            <w:pPr>
              <w:rPr>
                <w:color w:val="000000"/>
                <w:sz w:val="20"/>
                <w:szCs w:val="20"/>
              </w:rPr>
            </w:pPr>
            <w:proofErr w:type="spellStart"/>
            <w:r>
              <w:rPr>
                <w:color w:val="000000"/>
                <w:sz w:val="20"/>
                <w:szCs w:val="20"/>
              </w:rPr>
              <w:t>MeXL</w:t>
            </w:r>
            <w:proofErr w:type="spellEnd"/>
            <w:r>
              <w:rPr>
                <w:color w:val="000000"/>
                <w:sz w:val="20"/>
                <w:szCs w:val="20"/>
              </w:rPr>
              <w:t xml:space="preserve"> (Infiniti Case) Demonstration</w:t>
            </w:r>
          </w:p>
        </w:tc>
        <w:tc>
          <w:tcPr>
            <w:tcW w:w="928" w:type="dxa"/>
            <w:tcBorders>
              <w:top w:val="nil"/>
              <w:left w:val="nil"/>
              <w:bottom w:val="single" w:sz="8" w:space="0" w:color="auto"/>
              <w:right w:val="single" w:sz="8" w:space="0" w:color="auto"/>
            </w:tcBorders>
            <w:shd w:val="clear" w:color="000000" w:fill="FFFFFF"/>
            <w:vAlign w:val="center"/>
            <w:hideMark/>
          </w:tcPr>
          <w:p w14:paraId="42A82E0B" w14:textId="77777777" w:rsidR="00BD16ED" w:rsidRDefault="00BD16ED">
            <w:pPr>
              <w:rPr>
                <w:color w:val="000000"/>
                <w:sz w:val="20"/>
                <w:szCs w:val="20"/>
              </w:rPr>
            </w:pPr>
            <w:r>
              <w:rPr>
                <w:color w:val="000000"/>
                <w:sz w:val="20"/>
                <w:szCs w:val="20"/>
              </w:rPr>
              <w:t> </w:t>
            </w:r>
          </w:p>
        </w:tc>
      </w:tr>
      <w:tr w:rsidR="00BD16ED" w14:paraId="0893A30E"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66FFB36A" w14:textId="77777777" w:rsidR="00BD16ED" w:rsidRDefault="00BD16ED">
            <w:pPr>
              <w:rPr>
                <w:color w:val="000000"/>
                <w:sz w:val="20"/>
                <w:szCs w:val="20"/>
              </w:rPr>
            </w:pPr>
            <w:r>
              <w:rPr>
                <w:color w:val="000000"/>
                <w:sz w:val="20"/>
                <w:szCs w:val="20"/>
              </w:rPr>
              <w:t>6.1</w:t>
            </w:r>
          </w:p>
        </w:tc>
        <w:tc>
          <w:tcPr>
            <w:tcW w:w="5580" w:type="dxa"/>
            <w:tcBorders>
              <w:top w:val="nil"/>
              <w:left w:val="nil"/>
              <w:bottom w:val="single" w:sz="8" w:space="0" w:color="auto"/>
              <w:right w:val="single" w:sz="8" w:space="0" w:color="auto"/>
            </w:tcBorders>
            <w:shd w:val="clear" w:color="000000" w:fill="FFFFFF"/>
            <w:noWrap/>
            <w:vAlign w:val="center"/>
            <w:hideMark/>
          </w:tcPr>
          <w:p w14:paraId="7A92D494" w14:textId="77777777" w:rsidR="00BD16ED" w:rsidRDefault="00BD16ED">
            <w:pPr>
              <w:rPr>
                <w:color w:val="000000"/>
                <w:sz w:val="20"/>
                <w:szCs w:val="20"/>
              </w:rPr>
            </w:pPr>
            <w:r>
              <w:rPr>
                <w:color w:val="000000"/>
                <w:sz w:val="20"/>
                <w:szCs w:val="20"/>
              </w:rPr>
              <w:t xml:space="preserve">Principle 2: All Customers Change </w:t>
            </w:r>
            <w:r>
              <w:rPr>
                <w:rFonts w:ascii="Symbol" w:hAnsi="Symbol"/>
                <w:color w:val="000000"/>
                <w:sz w:val="20"/>
                <w:szCs w:val="20"/>
              </w:rPr>
              <w:t></w:t>
            </w:r>
            <w:r>
              <w:rPr>
                <w:color w:val="000000"/>
                <w:sz w:val="20"/>
                <w:szCs w:val="20"/>
              </w:rPr>
              <w:t xml:space="preserve"> Managing Customer Dynamics</w:t>
            </w:r>
          </w:p>
        </w:tc>
        <w:tc>
          <w:tcPr>
            <w:tcW w:w="2755" w:type="dxa"/>
            <w:tcBorders>
              <w:top w:val="nil"/>
              <w:left w:val="nil"/>
              <w:bottom w:val="single" w:sz="8" w:space="0" w:color="auto"/>
              <w:right w:val="single" w:sz="8" w:space="0" w:color="auto"/>
            </w:tcBorders>
            <w:shd w:val="clear" w:color="000000" w:fill="FFFFFF"/>
            <w:noWrap/>
            <w:vAlign w:val="center"/>
            <w:hideMark/>
          </w:tcPr>
          <w:p w14:paraId="6DF22142"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7CF2C59A" w14:textId="77777777" w:rsidR="00BD16ED" w:rsidRDefault="00BD16ED">
            <w:pPr>
              <w:rPr>
                <w:color w:val="000000"/>
                <w:sz w:val="20"/>
                <w:szCs w:val="20"/>
              </w:rPr>
            </w:pPr>
            <w:r>
              <w:rPr>
                <w:color w:val="000000"/>
                <w:sz w:val="20"/>
                <w:szCs w:val="20"/>
              </w:rPr>
              <w:t>3</w:t>
            </w:r>
          </w:p>
        </w:tc>
      </w:tr>
      <w:tr w:rsidR="00BD16ED" w14:paraId="3C9C270B"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22E2F82D" w14:textId="77777777" w:rsidR="00BD16ED" w:rsidRDefault="00BD16ED">
            <w:pPr>
              <w:rPr>
                <w:color w:val="000000"/>
                <w:sz w:val="20"/>
                <w:szCs w:val="20"/>
              </w:rPr>
            </w:pPr>
            <w:r>
              <w:rPr>
                <w:color w:val="000000"/>
                <w:sz w:val="20"/>
                <w:szCs w:val="20"/>
              </w:rPr>
              <w:t>6.2</w:t>
            </w:r>
          </w:p>
        </w:tc>
        <w:tc>
          <w:tcPr>
            <w:tcW w:w="5580" w:type="dxa"/>
            <w:tcBorders>
              <w:top w:val="nil"/>
              <w:left w:val="nil"/>
              <w:bottom w:val="single" w:sz="8" w:space="0" w:color="auto"/>
              <w:right w:val="single" w:sz="8" w:space="0" w:color="auto"/>
            </w:tcBorders>
            <w:shd w:val="clear" w:color="000000" w:fill="FFFFFF"/>
            <w:noWrap/>
            <w:vAlign w:val="center"/>
            <w:hideMark/>
          </w:tcPr>
          <w:p w14:paraId="785790A4" w14:textId="77777777" w:rsidR="00BD16ED" w:rsidRDefault="00BD16ED">
            <w:pPr>
              <w:rPr>
                <w:color w:val="000000"/>
                <w:sz w:val="20"/>
                <w:szCs w:val="20"/>
              </w:rPr>
            </w:pPr>
            <w:r>
              <w:rPr>
                <w:color w:val="000000"/>
                <w:sz w:val="20"/>
                <w:szCs w:val="20"/>
              </w:rPr>
              <w:t>Choice Models and Logistic Regression Concept</w:t>
            </w:r>
          </w:p>
        </w:tc>
        <w:tc>
          <w:tcPr>
            <w:tcW w:w="2755" w:type="dxa"/>
            <w:tcBorders>
              <w:top w:val="nil"/>
              <w:left w:val="nil"/>
              <w:bottom w:val="single" w:sz="8" w:space="0" w:color="auto"/>
              <w:right w:val="single" w:sz="8" w:space="0" w:color="auto"/>
            </w:tcBorders>
            <w:shd w:val="clear" w:color="000000" w:fill="FFFFFF"/>
            <w:noWrap/>
            <w:vAlign w:val="center"/>
            <w:hideMark/>
          </w:tcPr>
          <w:p w14:paraId="5254C98E"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19C52EAB" w14:textId="77777777" w:rsidR="00BD16ED" w:rsidRDefault="00BD16ED">
            <w:pPr>
              <w:rPr>
                <w:color w:val="000000"/>
                <w:sz w:val="20"/>
                <w:szCs w:val="20"/>
              </w:rPr>
            </w:pPr>
            <w:r>
              <w:rPr>
                <w:color w:val="000000"/>
                <w:sz w:val="20"/>
                <w:szCs w:val="20"/>
              </w:rPr>
              <w:t> </w:t>
            </w:r>
          </w:p>
        </w:tc>
      </w:tr>
      <w:tr w:rsidR="00BD16ED" w14:paraId="14D7E9E2"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4D92B16E" w14:textId="77777777" w:rsidR="00BD16ED" w:rsidRDefault="00BD16ED">
            <w:pPr>
              <w:rPr>
                <w:color w:val="000000"/>
                <w:sz w:val="20"/>
                <w:szCs w:val="20"/>
              </w:rPr>
            </w:pPr>
            <w:r>
              <w:rPr>
                <w:color w:val="000000"/>
                <w:sz w:val="20"/>
                <w:szCs w:val="20"/>
              </w:rPr>
              <w:t>7.1</w:t>
            </w:r>
          </w:p>
        </w:tc>
        <w:tc>
          <w:tcPr>
            <w:tcW w:w="5580" w:type="dxa"/>
            <w:tcBorders>
              <w:top w:val="nil"/>
              <w:left w:val="nil"/>
              <w:bottom w:val="single" w:sz="8" w:space="0" w:color="auto"/>
              <w:right w:val="single" w:sz="8" w:space="0" w:color="auto"/>
            </w:tcBorders>
            <w:shd w:val="clear" w:color="000000" w:fill="FFFFFF"/>
            <w:noWrap/>
            <w:vAlign w:val="center"/>
            <w:hideMark/>
          </w:tcPr>
          <w:p w14:paraId="0FAD9A09" w14:textId="77777777" w:rsidR="00BD16ED" w:rsidRDefault="00BD16ED">
            <w:pPr>
              <w:rPr>
                <w:color w:val="000000"/>
                <w:sz w:val="20"/>
                <w:szCs w:val="20"/>
              </w:rPr>
            </w:pPr>
            <w:r>
              <w:rPr>
                <w:color w:val="000000"/>
                <w:sz w:val="20"/>
                <w:szCs w:val="20"/>
              </w:rPr>
              <w:t>Choice Models and Logistic Regression Demonstration</w:t>
            </w:r>
          </w:p>
        </w:tc>
        <w:tc>
          <w:tcPr>
            <w:tcW w:w="2755" w:type="dxa"/>
            <w:tcBorders>
              <w:top w:val="nil"/>
              <w:left w:val="nil"/>
              <w:bottom w:val="single" w:sz="8" w:space="0" w:color="auto"/>
              <w:right w:val="single" w:sz="8" w:space="0" w:color="auto"/>
            </w:tcBorders>
            <w:shd w:val="clear" w:color="000000" w:fill="FFFFFF"/>
            <w:noWrap/>
            <w:vAlign w:val="center"/>
            <w:hideMark/>
          </w:tcPr>
          <w:p w14:paraId="11FB1347" w14:textId="77777777" w:rsidR="00BD16ED" w:rsidRDefault="00BD16ED">
            <w:pPr>
              <w:rPr>
                <w:color w:val="000000"/>
                <w:sz w:val="20"/>
                <w:szCs w:val="20"/>
              </w:rPr>
            </w:pPr>
            <w:proofErr w:type="spellStart"/>
            <w:r>
              <w:rPr>
                <w:color w:val="000000"/>
                <w:sz w:val="20"/>
                <w:szCs w:val="20"/>
              </w:rPr>
              <w:t>MeXL</w:t>
            </w:r>
            <w:proofErr w:type="spellEnd"/>
            <w:r>
              <w:rPr>
                <w:color w:val="000000"/>
                <w:sz w:val="20"/>
                <w:szCs w:val="20"/>
              </w:rPr>
              <w:t xml:space="preserve"> (TKL Case)</w:t>
            </w:r>
          </w:p>
        </w:tc>
        <w:tc>
          <w:tcPr>
            <w:tcW w:w="928" w:type="dxa"/>
            <w:tcBorders>
              <w:top w:val="nil"/>
              <w:left w:val="nil"/>
              <w:bottom w:val="single" w:sz="8" w:space="0" w:color="auto"/>
              <w:right w:val="single" w:sz="8" w:space="0" w:color="auto"/>
            </w:tcBorders>
            <w:shd w:val="clear" w:color="000000" w:fill="FFFFFF"/>
            <w:vAlign w:val="center"/>
            <w:hideMark/>
          </w:tcPr>
          <w:p w14:paraId="681F539F" w14:textId="77777777" w:rsidR="00BD16ED" w:rsidRDefault="00BD16ED">
            <w:pPr>
              <w:rPr>
                <w:color w:val="000000"/>
                <w:sz w:val="20"/>
                <w:szCs w:val="20"/>
              </w:rPr>
            </w:pPr>
            <w:r>
              <w:rPr>
                <w:color w:val="000000"/>
                <w:sz w:val="20"/>
                <w:szCs w:val="20"/>
              </w:rPr>
              <w:t>3</w:t>
            </w:r>
          </w:p>
        </w:tc>
      </w:tr>
      <w:tr w:rsidR="00BD16ED" w14:paraId="156B3003"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3A3444E4" w14:textId="77777777" w:rsidR="00BD16ED" w:rsidRDefault="00BD16ED">
            <w:pPr>
              <w:rPr>
                <w:color w:val="000000"/>
                <w:sz w:val="20"/>
                <w:szCs w:val="20"/>
              </w:rPr>
            </w:pPr>
            <w:r>
              <w:rPr>
                <w:color w:val="000000"/>
                <w:sz w:val="20"/>
                <w:szCs w:val="20"/>
              </w:rPr>
              <w:t>7.2</w:t>
            </w:r>
          </w:p>
        </w:tc>
        <w:tc>
          <w:tcPr>
            <w:tcW w:w="5580" w:type="dxa"/>
            <w:tcBorders>
              <w:top w:val="nil"/>
              <w:left w:val="nil"/>
              <w:bottom w:val="single" w:sz="8" w:space="0" w:color="auto"/>
              <w:right w:val="single" w:sz="8" w:space="0" w:color="auto"/>
            </w:tcBorders>
            <w:shd w:val="clear" w:color="000000" w:fill="FFFFFF"/>
            <w:noWrap/>
            <w:vAlign w:val="center"/>
            <w:hideMark/>
          </w:tcPr>
          <w:p w14:paraId="0243A4BE" w14:textId="77777777" w:rsidR="00BD16ED" w:rsidRDefault="00BD16ED">
            <w:pPr>
              <w:rPr>
                <w:color w:val="000000"/>
                <w:sz w:val="20"/>
                <w:szCs w:val="20"/>
              </w:rPr>
            </w:pPr>
            <w:r>
              <w:rPr>
                <w:color w:val="000000"/>
                <w:sz w:val="20"/>
                <w:szCs w:val="20"/>
              </w:rPr>
              <w:t>Choice Models and Logistic Regression Case</w:t>
            </w:r>
          </w:p>
        </w:tc>
        <w:tc>
          <w:tcPr>
            <w:tcW w:w="2755" w:type="dxa"/>
            <w:tcBorders>
              <w:top w:val="nil"/>
              <w:left w:val="nil"/>
              <w:bottom w:val="single" w:sz="8" w:space="0" w:color="auto"/>
              <w:right w:val="single" w:sz="8" w:space="0" w:color="auto"/>
            </w:tcBorders>
            <w:shd w:val="clear" w:color="000000" w:fill="FFFFFF"/>
            <w:noWrap/>
            <w:vAlign w:val="center"/>
            <w:hideMark/>
          </w:tcPr>
          <w:p w14:paraId="7813AC31" w14:textId="77777777" w:rsidR="00BD16ED" w:rsidRDefault="00BD16ED">
            <w:pPr>
              <w:rPr>
                <w:color w:val="000000"/>
                <w:sz w:val="20"/>
                <w:szCs w:val="20"/>
              </w:rPr>
            </w:pPr>
            <w:r>
              <w:rPr>
                <w:color w:val="000000"/>
                <w:sz w:val="20"/>
                <w:szCs w:val="20"/>
              </w:rPr>
              <w:t>ABB Case  Assignment</w:t>
            </w:r>
          </w:p>
        </w:tc>
        <w:tc>
          <w:tcPr>
            <w:tcW w:w="928" w:type="dxa"/>
            <w:tcBorders>
              <w:top w:val="nil"/>
              <w:left w:val="nil"/>
              <w:bottom w:val="single" w:sz="8" w:space="0" w:color="auto"/>
              <w:right w:val="single" w:sz="8" w:space="0" w:color="auto"/>
            </w:tcBorders>
            <w:shd w:val="clear" w:color="000000" w:fill="FFFFFF"/>
            <w:vAlign w:val="center"/>
            <w:hideMark/>
          </w:tcPr>
          <w:p w14:paraId="25C1C339" w14:textId="77777777" w:rsidR="00BD16ED" w:rsidRDefault="00BD16ED">
            <w:pPr>
              <w:rPr>
                <w:color w:val="000000"/>
                <w:sz w:val="20"/>
                <w:szCs w:val="20"/>
              </w:rPr>
            </w:pPr>
            <w:r>
              <w:rPr>
                <w:color w:val="000000"/>
                <w:sz w:val="20"/>
                <w:szCs w:val="20"/>
              </w:rPr>
              <w:t> </w:t>
            </w:r>
          </w:p>
        </w:tc>
      </w:tr>
      <w:tr w:rsidR="00BD16ED" w14:paraId="6900A605"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4C1D8F72" w14:textId="77777777" w:rsidR="00BD16ED" w:rsidRDefault="00BD16ED">
            <w:pPr>
              <w:rPr>
                <w:color w:val="000000"/>
                <w:sz w:val="20"/>
                <w:szCs w:val="20"/>
              </w:rPr>
            </w:pPr>
            <w:r>
              <w:rPr>
                <w:color w:val="000000"/>
                <w:sz w:val="20"/>
                <w:szCs w:val="20"/>
              </w:rPr>
              <w:t>8.1</w:t>
            </w:r>
          </w:p>
        </w:tc>
        <w:tc>
          <w:tcPr>
            <w:tcW w:w="5580" w:type="dxa"/>
            <w:tcBorders>
              <w:top w:val="nil"/>
              <w:left w:val="nil"/>
              <w:bottom w:val="single" w:sz="8" w:space="0" w:color="auto"/>
              <w:right w:val="single" w:sz="8" w:space="0" w:color="auto"/>
            </w:tcBorders>
            <w:shd w:val="clear" w:color="000000" w:fill="FFFFFF"/>
            <w:noWrap/>
            <w:vAlign w:val="center"/>
            <w:hideMark/>
          </w:tcPr>
          <w:p w14:paraId="2514F6A3" w14:textId="77777777" w:rsidR="00BD16ED" w:rsidRDefault="00BD16ED">
            <w:pPr>
              <w:rPr>
                <w:color w:val="000000"/>
                <w:sz w:val="20"/>
                <w:szCs w:val="20"/>
              </w:rPr>
            </w:pPr>
            <w:r>
              <w:rPr>
                <w:color w:val="000000"/>
                <w:sz w:val="20"/>
                <w:szCs w:val="20"/>
              </w:rPr>
              <w:t xml:space="preserve">Principle 3: All Competitors React </w:t>
            </w:r>
            <w:r>
              <w:rPr>
                <w:rFonts w:ascii="Symbol" w:hAnsi="Symbol"/>
                <w:color w:val="000000"/>
                <w:sz w:val="20"/>
                <w:szCs w:val="20"/>
              </w:rPr>
              <w:t></w:t>
            </w:r>
            <w:r>
              <w:rPr>
                <w:color w:val="000000"/>
                <w:sz w:val="20"/>
                <w:szCs w:val="20"/>
              </w:rPr>
              <w:t xml:space="preserve"> Managing Sustainable Competitive Advantage</w:t>
            </w:r>
          </w:p>
        </w:tc>
        <w:tc>
          <w:tcPr>
            <w:tcW w:w="2755" w:type="dxa"/>
            <w:tcBorders>
              <w:top w:val="nil"/>
              <w:left w:val="nil"/>
              <w:bottom w:val="single" w:sz="8" w:space="0" w:color="auto"/>
              <w:right w:val="single" w:sz="8" w:space="0" w:color="auto"/>
            </w:tcBorders>
            <w:shd w:val="clear" w:color="000000" w:fill="FFFFFF"/>
            <w:noWrap/>
            <w:vAlign w:val="center"/>
            <w:hideMark/>
          </w:tcPr>
          <w:p w14:paraId="3046861C"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1C93B12C" w14:textId="77777777" w:rsidR="00BD16ED" w:rsidRDefault="00BD16ED">
            <w:pPr>
              <w:rPr>
                <w:color w:val="000000"/>
                <w:sz w:val="20"/>
                <w:szCs w:val="20"/>
              </w:rPr>
            </w:pPr>
            <w:r>
              <w:rPr>
                <w:color w:val="000000"/>
                <w:sz w:val="20"/>
                <w:szCs w:val="20"/>
              </w:rPr>
              <w:t>4</w:t>
            </w:r>
          </w:p>
        </w:tc>
      </w:tr>
      <w:tr w:rsidR="00BD16ED" w14:paraId="49611050"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58EE0121" w14:textId="77777777" w:rsidR="00BD16ED" w:rsidRDefault="00BD16ED">
            <w:pPr>
              <w:rPr>
                <w:color w:val="000000"/>
                <w:sz w:val="20"/>
                <w:szCs w:val="20"/>
              </w:rPr>
            </w:pPr>
            <w:r>
              <w:rPr>
                <w:color w:val="000000"/>
                <w:sz w:val="20"/>
                <w:szCs w:val="20"/>
              </w:rPr>
              <w:t>8.2</w:t>
            </w:r>
          </w:p>
        </w:tc>
        <w:tc>
          <w:tcPr>
            <w:tcW w:w="5580" w:type="dxa"/>
            <w:tcBorders>
              <w:top w:val="nil"/>
              <w:left w:val="nil"/>
              <w:bottom w:val="single" w:sz="8" w:space="0" w:color="auto"/>
              <w:right w:val="single" w:sz="8" w:space="0" w:color="auto"/>
            </w:tcBorders>
            <w:shd w:val="clear" w:color="000000" w:fill="FFFFFF"/>
            <w:noWrap/>
            <w:vAlign w:val="center"/>
            <w:hideMark/>
          </w:tcPr>
          <w:p w14:paraId="3DAE3DBC" w14:textId="77777777" w:rsidR="00BD16ED" w:rsidRDefault="00BD16ED">
            <w:pPr>
              <w:rPr>
                <w:color w:val="000000"/>
                <w:sz w:val="20"/>
                <w:szCs w:val="20"/>
              </w:rPr>
            </w:pPr>
            <w:r>
              <w:rPr>
                <w:color w:val="000000"/>
                <w:sz w:val="20"/>
                <w:szCs w:val="20"/>
              </w:rPr>
              <w:t>Principle 3 (</w:t>
            </w:r>
            <w:proofErr w:type="spellStart"/>
            <w:r>
              <w:rPr>
                <w:color w:val="000000"/>
                <w:sz w:val="20"/>
                <w:szCs w:val="20"/>
              </w:rPr>
              <w:t>con’t</w:t>
            </w:r>
            <w:proofErr w:type="spellEnd"/>
            <w:r>
              <w:rPr>
                <w:color w:val="000000"/>
                <w:sz w:val="20"/>
                <w:szCs w:val="20"/>
              </w:rPr>
              <w:t>): Managing Brand-Based Competitive Advantage</w:t>
            </w:r>
          </w:p>
        </w:tc>
        <w:tc>
          <w:tcPr>
            <w:tcW w:w="2755" w:type="dxa"/>
            <w:tcBorders>
              <w:top w:val="nil"/>
              <w:left w:val="nil"/>
              <w:bottom w:val="single" w:sz="8" w:space="0" w:color="auto"/>
              <w:right w:val="single" w:sz="8" w:space="0" w:color="auto"/>
            </w:tcBorders>
            <w:shd w:val="clear" w:color="000000" w:fill="FFFFFF"/>
            <w:noWrap/>
            <w:vAlign w:val="center"/>
            <w:hideMark/>
          </w:tcPr>
          <w:p w14:paraId="60831A9B"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20A086D3" w14:textId="77777777" w:rsidR="00BD16ED" w:rsidRDefault="00BD16ED">
            <w:pPr>
              <w:rPr>
                <w:color w:val="000000"/>
                <w:sz w:val="20"/>
                <w:szCs w:val="20"/>
              </w:rPr>
            </w:pPr>
            <w:r>
              <w:rPr>
                <w:color w:val="000000"/>
                <w:sz w:val="20"/>
                <w:szCs w:val="20"/>
              </w:rPr>
              <w:t>5</w:t>
            </w:r>
          </w:p>
        </w:tc>
      </w:tr>
      <w:tr w:rsidR="00BD16ED" w14:paraId="15F7C36D"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2BBBA7BA" w14:textId="77777777" w:rsidR="00BD16ED" w:rsidRDefault="00BD16ED">
            <w:pPr>
              <w:rPr>
                <w:color w:val="000000"/>
                <w:sz w:val="20"/>
                <w:szCs w:val="20"/>
              </w:rPr>
            </w:pPr>
            <w:r>
              <w:rPr>
                <w:color w:val="000000"/>
                <w:sz w:val="20"/>
                <w:szCs w:val="20"/>
              </w:rPr>
              <w:t>9.1</w:t>
            </w:r>
          </w:p>
        </w:tc>
        <w:tc>
          <w:tcPr>
            <w:tcW w:w="5580" w:type="dxa"/>
            <w:tcBorders>
              <w:top w:val="nil"/>
              <w:left w:val="nil"/>
              <w:bottom w:val="single" w:sz="8" w:space="0" w:color="auto"/>
              <w:right w:val="single" w:sz="8" w:space="0" w:color="auto"/>
            </w:tcBorders>
            <w:shd w:val="clear" w:color="000000" w:fill="FFFFFF"/>
            <w:noWrap/>
            <w:vAlign w:val="center"/>
            <w:hideMark/>
          </w:tcPr>
          <w:p w14:paraId="591E5C2B" w14:textId="77777777" w:rsidR="00BD16ED" w:rsidRDefault="00BD16ED">
            <w:pPr>
              <w:rPr>
                <w:color w:val="000000"/>
                <w:sz w:val="20"/>
                <w:szCs w:val="20"/>
              </w:rPr>
            </w:pPr>
            <w:r>
              <w:rPr>
                <w:color w:val="000000"/>
                <w:sz w:val="20"/>
                <w:szCs w:val="20"/>
              </w:rPr>
              <w:t>Principle 3 (</w:t>
            </w:r>
            <w:proofErr w:type="spellStart"/>
            <w:r>
              <w:rPr>
                <w:color w:val="000000"/>
                <w:sz w:val="20"/>
                <w:szCs w:val="20"/>
              </w:rPr>
              <w:t>con’t</w:t>
            </w:r>
            <w:proofErr w:type="spellEnd"/>
            <w:r>
              <w:rPr>
                <w:color w:val="000000"/>
                <w:sz w:val="20"/>
                <w:szCs w:val="20"/>
              </w:rPr>
              <w:t>): Managing Offering-Based Competitive Advantage</w:t>
            </w:r>
          </w:p>
        </w:tc>
        <w:tc>
          <w:tcPr>
            <w:tcW w:w="2755" w:type="dxa"/>
            <w:tcBorders>
              <w:top w:val="nil"/>
              <w:left w:val="nil"/>
              <w:bottom w:val="single" w:sz="8" w:space="0" w:color="auto"/>
              <w:right w:val="single" w:sz="8" w:space="0" w:color="auto"/>
            </w:tcBorders>
            <w:shd w:val="clear" w:color="000000" w:fill="FFFFFF"/>
            <w:noWrap/>
            <w:vAlign w:val="center"/>
            <w:hideMark/>
          </w:tcPr>
          <w:p w14:paraId="7CC2B00A"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53E86857" w14:textId="77777777" w:rsidR="00BD16ED" w:rsidRDefault="00BD16ED">
            <w:pPr>
              <w:rPr>
                <w:color w:val="000000"/>
                <w:sz w:val="20"/>
                <w:szCs w:val="20"/>
              </w:rPr>
            </w:pPr>
            <w:r>
              <w:rPr>
                <w:color w:val="000000"/>
                <w:sz w:val="20"/>
                <w:szCs w:val="20"/>
              </w:rPr>
              <w:t>6</w:t>
            </w:r>
          </w:p>
        </w:tc>
      </w:tr>
      <w:tr w:rsidR="00BD16ED" w14:paraId="0EDD079C"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5D10DCB3" w14:textId="77777777" w:rsidR="00BD16ED" w:rsidRDefault="00BD16ED">
            <w:pPr>
              <w:rPr>
                <w:color w:val="000000"/>
                <w:sz w:val="20"/>
                <w:szCs w:val="20"/>
              </w:rPr>
            </w:pPr>
            <w:r>
              <w:rPr>
                <w:color w:val="000000"/>
                <w:sz w:val="20"/>
                <w:szCs w:val="20"/>
              </w:rPr>
              <w:t>9.2</w:t>
            </w:r>
          </w:p>
        </w:tc>
        <w:tc>
          <w:tcPr>
            <w:tcW w:w="5580" w:type="dxa"/>
            <w:tcBorders>
              <w:top w:val="nil"/>
              <w:left w:val="nil"/>
              <w:bottom w:val="single" w:sz="8" w:space="0" w:color="auto"/>
              <w:right w:val="single" w:sz="8" w:space="0" w:color="auto"/>
            </w:tcBorders>
            <w:shd w:val="clear" w:color="000000" w:fill="FFFFFF"/>
            <w:noWrap/>
            <w:vAlign w:val="center"/>
            <w:hideMark/>
          </w:tcPr>
          <w:p w14:paraId="6AEFB064" w14:textId="77777777" w:rsidR="00BD16ED" w:rsidRDefault="00BD16ED">
            <w:pPr>
              <w:rPr>
                <w:color w:val="000000"/>
                <w:sz w:val="20"/>
                <w:szCs w:val="20"/>
              </w:rPr>
            </w:pPr>
            <w:r>
              <w:rPr>
                <w:color w:val="000000"/>
                <w:sz w:val="20"/>
                <w:szCs w:val="20"/>
              </w:rPr>
              <w:t xml:space="preserve">Conjoint Concept </w:t>
            </w:r>
          </w:p>
        </w:tc>
        <w:tc>
          <w:tcPr>
            <w:tcW w:w="2755" w:type="dxa"/>
            <w:tcBorders>
              <w:top w:val="nil"/>
              <w:left w:val="nil"/>
              <w:bottom w:val="single" w:sz="8" w:space="0" w:color="auto"/>
              <w:right w:val="single" w:sz="8" w:space="0" w:color="auto"/>
            </w:tcBorders>
            <w:shd w:val="clear" w:color="000000" w:fill="FFFFFF"/>
            <w:noWrap/>
            <w:vAlign w:val="center"/>
            <w:hideMark/>
          </w:tcPr>
          <w:p w14:paraId="084EE5B7"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55CF5AD9" w14:textId="77777777" w:rsidR="00BD16ED" w:rsidRDefault="00BD16ED">
            <w:pPr>
              <w:rPr>
                <w:color w:val="000000"/>
                <w:sz w:val="20"/>
                <w:szCs w:val="20"/>
              </w:rPr>
            </w:pPr>
            <w:r>
              <w:rPr>
                <w:color w:val="000000"/>
                <w:sz w:val="20"/>
                <w:szCs w:val="20"/>
              </w:rPr>
              <w:t>6</w:t>
            </w:r>
          </w:p>
        </w:tc>
      </w:tr>
      <w:tr w:rsidR="00BD16ED" w14:paraId="40D5148F"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507997CE" w14:textId="77777777" w:rsidR="00BD16ED" w:rsidRDefault="00BD16ED">
            <w:pPr>
              <w:rPr>
                <w:color w:val="000000"/>
                <w:sz w:val="20"/>
                <w:szCs w:val="20"/>
              </w:rPr>
            </w:pPr>
            <w:r>
              <w:rPr>
                <w:color w:val="000000"/>
                <w:sz w:val="20"/>
                <w:szCs w:val="20"/>
              </w:rPr>
              <w:t>10.1</w:t>
            </w:r>
          </w:p>
        </w:tc>
        <w:tc>
          <w:tcPr>
            <w:tcW w:w="5580" w:type="dxa"/>
            <w:tcBorders>
              <w:top w:val="nil"/>
              <w:left w:val="nil"/>
              <w:bottom w:val="single" w:sz="8" w:space="0" w:color="auto"/>
              <w:right w:val="single" w:sz="8" w:space="0" w:color="auto"/>
            </w:tcBorders>
            <w:shd w:val="clear" w:color="000000" w:fill="FFFFFF"/>
            <w:noWrap/>
            <w:vAlign w:val="center"/>
            <w:hideMark/>
          </w:tcPr>
          <w:p w14:paraId="63C19326" w14:textId="77777777" w:rsidR="00BD16ED" w:rsidRDefault="00BD16ED">
            <w:pPr>
              <w:rPr>
                <w:color w:val="000000"/>
                <w:sz w:val="20"/>
                <w:szCs w:val="20"/>
              </w:rPr>
            </w:pPr>
            <w:r>
              <w:rPr>
                <w:color w:val="000000"/>
                <w:sz w:val="20"/>
                <w:szCs w:val="20"/>
              </w:rPr>
              <w:t>Conjoint Demonstration</w:t>
            </w:r>
          </w:p>
        </w:tc>
        <w:tc>
          <w:tcPr>
            <w:tcW w:w="2755" w:type="dxa"/>
            <w:tcBorders>
              <w:top w:val="nil"/>
              <w:left w:val="nil"/>
              <w:bottom w:val="single" w:sz="8" w:space="0" w:color="auto"/>
              <w:right w:val="single" w:sz="8" w:space="0" w:color="auto"/>
            </w:tcBorders>
            <w:shd w:val="clear" w:color="000000" w:fill="FFFFFF"/>
            <w:noWrap/>
            <w:vAlign w:val="center"/>
            <w:hideMark/>
          </w:tcPr>
          <w:p w14:paraId="1437066E" w14:textId="77777777" w:rsidR="00BD16ED" w:rsidRDefault="00BD16ED">
            <w:pPr>
              <w:rPr>
                <w:color w:val="000000"/>
                <w:sz w:val="20"/>
                <w:szCs w:val="20"/>
              </w:rPr>
            </w:pPr>
            <w:proofErr w:type="spellStart"/>
            <w:r>
              <w:rPr>
                <w:color w:val="000000"/>
                <w:sz w:val="20"/>
                <w:szCs w:val="20"/>
              </w:rPr>
              <w:t>MeXL</w:t>
            </w:r>
            <w:proofErr w:type="spellEnd"/>
            <w:r>
              <w:rPr>
                <w:color w:val="000000"/>
                <w:sz w:val="20"/>
                <w:szCs w:val="20"/>
              </w:rPr>
              <w:t xml:space="preserve"> (Exteriors Case)</w:t>
            </w:r>
          </w:p>
        </w:tc>
        <w:tc>
          <w:tcPr>
            <w:tcW w:w="928" w:type="dxa"/>
            <w:tcBorders>
              <w:top w:val="nil"/>
              <w:left w:val="nil"/>
              <w:bottom w:val="single" w:sz="8" w:space="0" w:color="auto"/>
              <w:right w:val="single" w:sz="8" w:space="0" w:color="auto"/>
            </w:tcBorders>
            <w:shd w:val="clear" w:color="000000" w:fill="FFFFFF"/>
            <w:vAlign w:val="center"/>
            <w:hideMark/>
          </w:tcPr>
          <w:p w14:paraId="1DFE5379" w14:textId="77777777" w:rsidR="00BD16ED" w:rsidRDefault="00BD16ED">
            <w:pPr>
              <w:rPr>
                <w:color w:val="000000"/>
                <w:sz w:val="20"/>
                <w:szCs w:val="20"/>
              </w:rPr>
            </w:pPr>
            <w:r>
              <w:rPr>
                <w:color w:val="000000"/>
                <w:sz w:val="20"/>
                <w:szCs w:val="20"/>
              </w:rPr>
              <w:t> </w:t>
            </w:r>
          </w:p>
        </w:tc>
      </w:tr>
      <w:tr w:rsidR="00BD16ED" w14:paraId="1EFD53A5"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4982965A" w14:textId="77777777" w:rsidR="00BD16ED" w:rsidRDefault="00BD16ED">
            <w:pPr>
              <w:rPr>
                <w:color w:val="000000"/>
                <w:sz w:val="20"/>
                <w:szCs w:val="20"/>
              </w:rPr>
            </w:pPr>
            <w:r>
              <w:rPr>
                <w:color w:val="000000"/>
                <w:sz w:val="20"/>
                <w:szCs w:val="20"/>
              </w:rPr>
              <w:t>10.2</w:t>
            </w:r>
          </w:p>
        </w:tc>
        <w:tc>
          <w:tcPr>
            <w:tcW w:w="5580" w:type="dxa"/>
            <w:tcBorders>
              <w:top w:val="nil"/>
              <w:left w:val="nil"/>
              <w:bottom w:val="single" w:sz="8" w:space="0" w:color="auto"/>
              <w:right w:val="single" w:sz="8" w:space="0" w:color="auto"/>
            </w:tcBorders>
            <w:shd w:val="clear" w:color="000000" w:fill="FFFFFF"/>
            <w:noWrap/>
            <w:vAlign w:val="center"/>
            <w:hideMark/>
          </w:tcPr>
          <w:p w14:paraId="31CEE3D2" w14:textId="77777777" w:rsidR="00BD16ED" w:rsidRDefault="00BD16ED">
            <w:pPr>
              <w:rPr>
                <w:color w:val="000000"/>
                <w:sz w:val="20"/>
                <w:szCs w:val="20"/>
              </w:rPr>
            </w:pPr>
            <w:r>
              <w:rPr>
                <w:color w:val="000000"/>
                <w:sz w:val="20"/>
                <w:szCs w:val="20"/>
              </w:rPr>
              <w:t>Conjoint Concept and Demonstration</w:t>
            </w:r>
          </w:p>
        </w:tc>
        <w:tc>
          <w:tcPr>
            <w:tcW w:w="2755" w:type="dxa"/>
            <w:tcBorders>
              <w:top w:val="nil"/>
              <w:left w:val="nil"/>
              <w:bottom w:val="single" w:sz="8" w:space="0" w:color="auto"/>
              <w:right w:val="single" w:sz="8" w:space="0" w:color="auto"/>
            </w:tcBorders>
            <w:shd w:val="clear" w:color="000000" w:fill="FFFFFF"/>
            <w:noWrap/>
            <w:vAlign w:val="center"/>
            <w:hideMark/>
          </w:tcPr>
          <w:p w14:paraId="6906C30F" w14:textId="77777777" w:rsidR="00BD16ED" w:rsidRDefault="00BD16ED">
            <w:pPr>
              <w:rPr>
                <w:color w:val="000000"/>
                <w:sz w:val="20"/>
                <w:szCs w:val="20"/>
              </w:rPr>
            </w:pPr>
            <w:r>
              <w:rPr>
                <w:color w:val="000000"/>
                <w:sz w:val="20"/>
                <w:szCs w:val="20"/>
              </w:rPr>
              <w:t>Kirin Case  Assignment</w:t>
            </w:r>
          </w:p>
        </w:tc>
        <w:tc>
          <w:tcPr>
            <w:tcW w:w="928" w:type="dxa"/>
            <w:tcBorders>
              <w:top w:val="nil"/>
              <w:left w:val="nil"/>
              <w:bottom w:val="single" w:sz="8" w:space="0" w:color="auto"/>
              <w:right w:val="single" w:sz="8" w:space="0" w:color="auto"/>
            </w:tcBorders>
            <w:shd w:val="clear" w:color="000000" w:fill="FFFFFF"/>
            <w:vAlign w:val="center"/>
            <w:hideMark/>
          </w:tcPr>
          <w:p w14:paraId="4375F323" w14:textId="77777777" w:rsidR="00BD16ED" w:rsidRDefault="00BD16ED">
            <w:pPr>
              <w:rPr>
                <w:color w:val="000000"/>
                <w:sz w:val="20"/>
                <w:szCs w:val="20"/>
              </w:rPr>
            </w:pPr>
            <w:r>
              <w:rPr>
                <w:color w:val="000000"/>
                <w:sz w:val="20"/>
                <w:szCs w:val="20"/>
              </w:rPr>
              <w:t>6</w:t>
            </w:r>
          </w:p>
        </w:tc>
      </w:tr>
      <w:tr w:rsidR="00BD16ED" w14:paraId="05A6F920"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777E90D1" w14:textId="77777777" w:rsidR="00BD16ED" w:rsidRDefault="00BD16ED">
            <w:pPr>
              <w:rPr>
                <w:color w:val="000000"/>
                <w:sz w:val="20"/>
                <w:szCs w:val="20"/>
              </w:rPr>
            </w:pPr>
            <w:r>
              <w:rPr>
                <w:color w:val="000000"/>
                <w:sz w:val="20"/>
                <w:szCs w:val="20"/>
              </w:rPr>
              <w:t>11.1</w:t>
            </w:r>
          </w:p>
        </w:tc>
        <w:tc>
          <w:tcPr>
            <w:tcW w:w="5580" w:type="dxa"/>
            <w:tcBorders>
              <w:top w:val="nil"/>
              <w:left w:val="nil"/>
              <w:bottom w:val="single" w:sz="8" w:space="0" w:color="auto"/>
              <w:right w:val="single" w:sz="8" w:space="0" w:color="auto"/>
            </w:tcBorders>
            <w:shd w:val="clear" w:color="000000" w:fill="FFFFFF"/>
            <w:noWrap/>
            <w:vAlign w:val="center"/>
            <w:hideMark/>
          </w:tcPr>
          <w:p w14:paraId="4D86A4C0" w14:textId="77777777" w:rsidR="00BD16ED" w:rsidRDefault="00BD16ED">
            <w:pPr>
              <w:rPr>
                <w:color w:val="000000"/>
                <w:sz w:val="20"/>
                <w:szCs w:val="20"/>
              </w:rPr>
            </w:pPr>
            <w:r>
              <w:rPr>
                <w:color w:val="000000"/>
                <w:sz w:val="20"/>
                <w:szCs w:val="20"/>
              </w:rPr>
              <w:t>Principle 3 (</w:t>
            </w:r>
            <w:proofErr w:type="spellStart"/>
            <w:r>
              <w:rPr>
                <w:color w:val="000000"/>
                <w:sz w:val="20"/>
                <w:szCs w:val="20"/>
              </w:rPr>
              <w:t>con’t</w:t>
            </w:r>
            <w:proofErr w:type="spellEnd"/>
            <w:r>
              <w:rPr>
                <w:color w:val="000000"/>
                <w:sz w:val="20"/>
                <w:szCs w:val="20"/>
              </w:rPr>
              <w:t>): Managing Relationship-Based Competitive Advantage</w:t>
            </w:r>
          </w:p>
        </w:tc>
        <w:tc>
          <w:tcPr>
            <w:tcW w:w="2755" w:type="dxa"/>
            <w:tcBorders>
              <w:top w:val="nil"/>
              <w:left w:val="nil"/>
              <w:bottom w:val="single" w:sz="8" w:space="0" w:color="auto"/>
              <w:right w:val="single" w:sz="8" w:space="0" w:color="auto"/>
            </w:tcBorders>
            <w:shd w:val="clear" w:color="000000" w:fill="FFFFFF"/>
            <w:noWrap/>
            <w:vAlign w:val="center"/>
            <w:hideMark/>
          </w:tcPr>
          <w:p w14:paraId="416B3949"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49816FB3" w14:textId="77777777" w:rsidR="00BD16ED" w:rsidRDefault="00BD16ED">
            <w:pPr>
              <w:rPr>
                <w:color w:val="000000"/>
                <w:sz w:val="20"/>
                <w:szCs w:val="20"/>
              </w:rPr>
            </w:pPr>
            <w:r>
              <w:rPr>
                <w:color w:val="000000"/>
                <w:sz w:val="20"/>
                <w:szCs w:val="20"/>
              </w:rPr>
              <w:t>7</w:t>
            </w:r>
          </w:p>
        </w:tc>
      </w:tr>
      <w:tr w:rsidR="00BD16ED" w14:paraId="7E14C1D6"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71B004F5" w14:textId="77777777" w:rsidR="00BD16ED" w:rsidRDefault="00BD16ED">
            <w:pPr>
              <w:rPr>
                <w:color w:val="000000"/>
                <w:sz w:val="20"/>
                <w:szCs w:val="20"/>
              </w:rPr>
            </w:pPr>
            <w:r>
              <w:rPr>
                <w:color w:val="000000"/>
                <w:sz w:val="20"/>
                <w:szCs w:val="20"/>
              </w:rPr>
              <w:t>11.2</w:t>
            </w:r>
          </w:p>
        </w:tc>
        <w:tc>
          <w:tcPr>
            <w:tcW w:w="5580" w:type="dxa"/>
            <w:tcBorders>
              <w:top w:val="nil"/>
              <w:left w:val="nil"/>
              <w:bottom w:val="single" w:sz="8" w:space="0" w:color="auto"/>
              <w:right w:val="single" w:sz="8" w:space="0" w:color="auto"/>
            </w:tcBorders>
            <w:shd w:val="clear" w:color="000000" w:fill="FFFFFF"/>
            <w:noWrap/>
            <w:vAlign w:val="center"/>
            <w:hideMark/>
          </w:tcPr>
          <w:p w14:paraId="08BB1E06" w14:textId="77777777" w:rsidR="00BD16ED" w:rsidRDefault="00BD16ED">
            <w:pPr>
              <w:rPr>
                <w:color w:val="000000"/>
                <w:sz w:val="20"/>
                <w:szCs w:val="20"/>
              </w:rPr>
            </w:pPr>
            <w:r>
              <w:rPr>
                <w:color w:val="000000"/>
                <w:sz w:val="20"/>
                <w:szCs w:val="20"/>
              </w:rPr>
              <w:t xml:space="preserve">Principle 4: All Resources are Limited </w:t>
            </w:r>
            <w:r>
              <w:rPr>
                <w:rFonts w:ascii="Symbol" w:hAnsi="Symbol"/>
                <w:color w:val="000000"/>
                <w:sz w:val="20"/>
                <w:szCs w:val="20"/>
              </w:rPr>
              <w:t></w:t>
            </w:r>
            <w:r>
              <w:rPr>
                <w:color w:val="000000"/>
                <w:sz w:val="20"/>
                <w:szCs w:val="20"/>
              </w:rPr>
              <w:t xml:space="preserve"> Managing Resource Tradeoffs</w:t>
            </w:r>
          </w:p>
        </w:tc>
        <w:tc>
          <w:tcPr>
            <w:tcW w:w="2755" w:type="dxa"/>
            <w:tcBorders>
              <w:top w:val="nil"/>
              <w:left w:val="nil"/>
              <w:bottom w:val="single" w:sz="8" w:space="0" w:color="auto"/>
              <w:right w:val="single" w:sz="8" w:space="0" w:color="auto"/>
            </w:tcBorders>
            <w:shd w:val="clear" w:color="000000" w:fill="FFFFFF"/>
            <w:noWrap/>
            <w:vAlign w:val="center"/>
            <w:hideMark/>
          </w:tcPr>
          <w:p w14:paraId="0D7B78C4"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54D4AD9A" w14:textId="77777777" w:rsidR="00BD16ED" w:rsidRDefault="00BD16ED">
            <w:pPr>
              <w:rPr>
                <w:color w:val="000000"/>
                <w:sz w:val="20"/>
                <w:szCs w:val="20"/>
              </w:rPr>
            </w:pPr>
            <w:r>
              <w:rPr>
                <w:color w:val="000000"/>
                <w:sz w:val="20"/>
                <w:szCs w:val="20"/>
              </w:rPr>
              <w:t>8</w:t>
            </w:r>
          </w:p>
        </w:tc>
      </w:tr>
      <w:tr w:rsidR="00BD16ED" w14:paraId="421DA319"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7D5D2739" w14:textId="77777777" w:rsidR="00BD16ED" w:rsidRDefault="00BD16ED">
            <w:pPr>
              <w:rPr>
                <w:color w:val="000000"/>
                <w:sz w:val="20"/>
                <w:szCs w:val="20"/>
              </w:rPr>
            </w:pPr>
            <w:r>
              <w:rPr>
                <w:color w:val="000000"/>
                <w:sz w:val="20"/>
                <w:szCs w:val="20"/>
              </w:rPr>
              <w:t>12.1</w:t>
            </w:r>
          </w:p>
        </w:tc>
        <w:tc>
          <w:tcPr>
            <w:tcW w:w="5580" w:type="dxa"/>
            <w:tcBorders>
              <w:top w:val="nil"/>
              <w:left w:val="nil"/>
              <w:bottom w:val="single" w:sz="8" w:space="0" w:color="auto"/>
              <w:right w:val="single" w:sz="8" w:space="0" w:color="auto"/>
            </w:tcBorders>
            <w:shd w:val="clear" w:color="000000" w:fill="FFFFFF"/>
            <w:noWrap/>
            <w:vAlign w:val="center"/>
            <w:hideMark/>
          </w:tcPr>
          <w:p w14:paraId="79B6B8E7" w14:textId="77777777" w:rsidR="00BD16ED" w:rsidRDefault="00BD16ED">
            <w:pPr>
              <w:rPr>
                <w:color w:val="000000"/>
                <w:sz w:val="20"/>
                <w:szCs w:val="20"/>
              </w:rPr>
            </w:pPr>
            <w:r>
              <w:rPr>
                <w:color w:val="000000"/>
                <w:sz w:val="20"/>
                <w:szCs w:val="20"/>
              </w:rPr>
              <w:t xml:space="preserve">Response Models Concept </w:t>
            </w:r>
          </w:p>
        </w:tc>
        <w:tc>
          <w:tcPr>
            <w:tcW w:w="2755" w:type="dxa"/>
            <w:tcBorders>
              <w:top w:val="nil"/>
              <w:left w:val="nil"/>
              <w:bottom w:val="single" w:sz="8" w:space="0" w:color="auto"/>
              <w:right w:val="single" w:sz="8" w:space="0" w:color="auto"/>
            </w:tcBorders>
            <w:shd w:val="clear" w:color="000000" w:fill="FFFFFF"/>
            <w:noWrap/>
            <w:vAlign w:val="center"/>
            <w:hideMark/>
          </w:tcPr>
          <w:p w14:paraId="71E07837"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4B70D163" w14:textId="77777777" w:rsidR="00BD16ED" w:rsidRDefault="00BD16ED">
            <w:pPr>
              <w:rPr>
                <w:color w:val="000000"/>
                <w:sz w:val="20"/>
                <w:szCs w:val="20"/>
              </w:rPr>
            </w:pPr>
            <w:r>
              <w:rPr>
                <w:color w:val="000000"/>
                <w:sz w:val="20"/>
                <w:szCs w:val="20"/>
              </w:rPr>
              <w:t> </w:t>
            </w:r>
          </w:p>
        </w:tc>
      </w:tr>
      <w:tr w:rsidR="00BD16ED" w14:paraId="757F5BDB"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0606D1A6" w14:textId="77777777" w:rsidR="00BD16ED" w:rsidRDefault="00BD16ED">
            <w:pPr>
              <w:rPr>
                <w:color w:val="000000"/>
                <w:sz w:val="20"/>
                <w:szCs w:val="20"/>
              </w:rPr>
            </w:pPr>
            <w:r>
              <w:rPr>
                <w:color w:val="000000"/>
                <w:sz w:val="20"/>
                <w:szCs w:val="20"/>
              </w:rPr>
              <w:t>12.2</w:t>
            </w:r>
          </w:p>
        </w:tc>
        <w:tc>
          <w:tcPr>
            <w:tcW w:w="5580" w:type="dxa"/>
            <w:tcBorders>
              <w:top w:val="nil"/>
              <w:left w:val="nil"/>
              <w:bottom w:val="single" w:sz="8" w:space="0" w:color="auto"/>
              <w:right w:val="single" w:sz="8" w:space="0" w:color="auto"/>
            </w:tcBorders>
            <w:shd w:val="clear" w:color="000000" w:fill="FFFFFF"/>
            <w:noWrap/>
            <w:vAlign w:val="center"/>
            <w:hideMark/>
          </w:tcPr>
          <w:p w14:paraId="4EA57F6E" w14:textId="77777777" w:rsidR="00BD16ED" w:rsidRDefault="00BD16ED">
            <w:pPr>
              <w:rPr>
                <w:color w:val="000000"/>
                <w:sz w:val="20"/>
                <w:szCs w:val="20"/>
              </w:rPr>
            </w:pPr>
            <w:r>
              <w:rPr>
                <w:color w:val="000000"/>
                <w:sz w:val="20"/>
                <w:szCs w:val="20"/>
              </w:rPr>
              <w:t>Response Models Demonstration</w:t>
            </w:r>
          </w:p>
        </w:tc>
        <w:tc>
          <w:tcPr>
            <w:tcW w:w="2755" w:type="dxa"/>
            <w:tcBorders>
              <w:top w:val="nil"/>
              <w:left w:val="nil"/>
              <w:bottom w:val="single" w:sz="8" w:space="0" w:color="auto"/>
              <w:right w:val="single" w:sz="8" w:space="0" w:color="auto"/>
            </w:tcBorders>
            <w:shd w:val="clear" w:color="000000" w:fill="FFFFFF"/>
            <w:noWrap/>
            <w:vAlign w:val="center"/>
            <w:hideMark/>
          </w:tcPr>
          <w:p w14:paraId="3E168CA8" w14:textId="77777777" w:rsidR="00BD16ED" w:rsidRDefault="00BD16ED">
            <w:pPr>
              <w:rPr>
                <w:color w:val="000000"/>
                <w:sz w:val="20"/>
                <w:szCs w:val="20"/>
              </w:rPr>
            </w:pPr>
            <w:r>
              <w:rPr>
                <w:color w:val="000000"/>
                <w:sz w:val="20"/>
                <w:szCs w:val="20"/>
              </w:rPr>
              <w:t xml:space="preserve">Analytic Technique, </w:t>
            </w:r>
            <w:proofErr w:type="spellStart"/>
            <w:r>
              <w:rPr>
                <w:color w:val="000000"/>
                <w:sz w:val="20"/>
                <w:szCs w:val="20"/>
              </w:rPr>
              <w:t>MeXL</w:t>
            </w:r>
            <w:proofErr w:type="spellEnd"/>
            <w:r>
              <w:rPr>
                <w:color w:val="000000"/>
                <w:sz w:val="20"/>
                <w:szCs w:val="20"/>
              </w:rPr>
              <w:t xml:space="preserve"> (BRT Tribune Case)</w:t>
            </w:r>
          </w:p>
        </w:tc>
        <w:tc>
          <w:tcPr>
            <w:tcW w:w="928" w:type="dxa"/>
            <w:tcBorders>
              <w:top w:val="nil"/>
              <w:left w:val="nil"/>
              <w:bottom w:val="single" w:sz="8" w:space="0" w:color="auto"/>
              <w:right w:val="single" w:sz="8" w:space="0" w:color="auto"/>
            </w:tcBorders>
            <w:shd w:val="clear" w:color="000000" w:fill="FFFFFF"/>
            <w:vAlign w:val="center"/>
            <w:hideMark/>
          </w:tcPr>
          <w:p w14:paraId="021EDFE1" w14:textId="77777777" w:rsidR="00BD16ED" w:rsidRDefault="00BD16ED">
            <w:pPr>
              <w:rPr>
                <w:color w:val="000000"/>
                <w:sz w:val="20"/>
                <w:szCs w:val="20"/>
              </w:rPr>
            </w:pPr>
            <w:r>
              <w:rPr>
                <w:color w:val="000000"/>
                <w:sz w:val="20"/>
                <w:szCs w:val="20"/>
              </w:rPr>
              <w:t> </w:t>
            </w:r>
          </w:p>
        </w:tc>
      </w:tr>
      <w:tr w:rsidR="00BD16ED" w14:paraId="445347E9"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31F3C557" w14:textId="77777777" w:rsidR="00BD16ED" w:rsidRDefault="00BD16ED">
            <w:pPr>
              <w:rPr>
                <w:color w:val="000000"/>
                <w:sz w:val="20"/>
                <w:szCs w:val="20"/>
              </w:rPr>
            </w:pPr>
            <w:r>
              <w:rPr>
                <w:color w:val="000000"/>
                <w:sz w:val="20"/>
                <w:szCs w:val="20"/>
              </w:rPr>
              <w:t>13.1</w:t>
            </w:r>
          </w:p>
        </w:tc>
        <w:tc>
          <w:tcPr>
            <w:tcW w:w="5580" w:type="dxa"/>
            <w:tcBorders>
              <w:top w:val="nil"/>
              <w:left w:val="nil"/>
              <w:bottom w:val="single" w:sz="8" w:space="0" w:color="auto"/>
              <w:right w:val="single" w:sz="8" w:space="0" w:color="auto"/>
            </w:tcBorders>
            <w:shd w:val="clear" w:color="000000" w:fill="FFFFFF"/>
            <w:noWrap/>
            <w:vAlign w:val="center"/>
            <w:hideMark/>
          </w:tcPr>
          <w:p w14:paraId="6FE670D8" w14:textId="77777777" w:rsidR="00BD16ED" w:rsidRDefault="00BD16ED">
            <w:pPr>
              <w:rPr>
                <w:color w:val="000000"/>
                <w:sz w:val="20"/>
                <w:szCs w:val="20"/>
              </w:rPr>
            </w:pPr>
            <w:r>
              <w:rPr>
                <w:color w:val="000000"/>
                <w:sz w:val="20"/>
                <w:szCs w:val="20"/>
              </w:rPr>
              <w:t>Response Models Case</w:t>
            </w:r>
          </w:p>
        </w:tc>
        <w:tc>
          <w:tcPr>
            <w:tcW w:w="2755" w:type="dxa"/>
            <w:tcBorders>
              <w:top w:val="nil"/>
              <w:left w:val="nil"/>
              <w:bottom w:val="single" w:sz="8" w:space="0" w:color="auto"/>
              <w:right w:val="single" w:sz="8" w:space="0" w:color="auto"/>
            </w:tcBorders>
            <w:shd w:val="clear" w:color="000000" w:fill="FFFFFF"/>
            <w:noWrap/>
            <w:vAlign w:val="center"/>
            <w:hideMark/>
          </w:tcPr>
          <w:p w14:paraId="7684114A" w14:textId="77777777" w:rsidR="00BD16ED" w:rsidRDefault="00BD16ED">
            <w:pPr>
              <w:rPr>
                <w:color w:val="000000"/>
                <w:sz w:val="20"/>
                <w:szCs w:val="20"/>
              </w:rPr>
            </w:pPr>
            <w:proofErr w:type="spellStart"/>
            <w:r>
              <w:rPr>
                <w:color w:val="000000"/>
                <w:sz w:val="20"/>
                <w:szCs w:val="20"/>
              </w:rPr>
              <w:t>Syntex</w:t>
            </w:r>
            <w:proofErr w:type="spellEnd"/>
            <w:r>
              <w:rPr>
                <w:color w:val="000000"/>
                <w:sz w:val="20"/>
                <w:szCs w:val="20"/>
              </w:rPr>
              <w:t xml:space="preserve"> Case  Assignment</w:t>
            </w:r>
          </w:p>
        </w:tc>
        <w:tc>
          <w:tcPr>
            <w:tcW w:w="928" w:type="dxa"/>
            <w:tcBorders>
              <w:top w:val="nil"/>
              <w:left w:val="nil"/>
              <w:bottom w:val="single" w:sz="8" w:space="0" w:color="auto"/>
              <w:right w:val="single" w:sz="8" w:space="0" w:color="auto"/>
            </w:tcBorders>
            <w:shd w:val="clear" w:color="000000" w:fill="FFFFFF"/>
            <w:vAlign w:val="center"/>
            <w:hideMark/>
          </w:tcPr>
          <w:p w14:paraId="439849C8" w14:textId="77777777" w:rsidR="00BD16ED" w:rsidRDefault="00BD16ED">
            <w:pPr>
              <w:rPr>
                <w:color w:val="000000"/>
                <w:sz w:val="20"/>
                <w:szCs w:val="20"/>
              </w:rPr>
            </w:pPr>
            <w:r>
              <w:rPr>
                <w:color w:val="000000"/>
                <w:sz w:val="20"/>
                <w:szCs w:val="20"/>
              </w:rPr>
              <w:t> </w:t>
            </w:r>
          </w:p>
        </w:tc>
      </w:tr>
      <w:tr w:rsidR="00BD16ED" w14:paraId="3700DD0A"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49FA8FB5" w14:textId="77777777" w:rsidR="00BD16ED" w:rsidRDefault="00BD16ED">
            <w:pPr>
              <w:rPr>
                <w:color w:val="000000"/>
                <w:sz w:val="20"/>
                <w:szCs w:val="20"/>
              </w:rPr>
            </w:pPr>
            <w:r>
              <w:rPr>
                <w:color w:val="000000"/>
                <w:sz w:val="20"/>
                <w:szCs w:val="20"/>
              </w:rPr>
              <w:t>13.2</w:t>
            </w:r>
          </w:p>
        </w:tc>
        <w:tc>
          <w:tcPr>
            <w:tcW w:w="5580" w:type="dxa"/>
            <w:tcBorders>
              <w:top w:val="nil"/>
              <w:left w:val="nil"/>
              <w:bottom w:val="single" w:sz="8" w:space="0" w:color="auto"/>
              <w:right w:val="single" w:sz="8" w:space="0" w:color="auto"/>
            </w:tcBorders>
            <w:shd w:val="clear" w:color="000000" w:fill="FFFFFF"/>
            <w:noWrap/>
            <w:vAlign w:val="center"/>
            <w:hideMark/>
          </w:tcPr>
          <w:p w14:paraId="2C67F955" w14:textId="77777777" w:rsidR="00BD16ED" w:rsidRDefault="00BD16ED">
            <w:pPr>
              <w:rPr>
                <w:color w:val="000000"/>
                <w:sz w:val="20"/>
                <w:szCs w:val="20"/>
              </w:rPr>
            </w:pPr>
            <w:r>
              <w:rPr>
                <w:color w:val="000000"/>
                <w:sz w:val="20"/>
                <w:szCs w:val="20"/>
              </w:rPr>
              <w:t>Integrating the Four Principles</w:t>
            </w:r>
          </w:p>
        </w:tc>
        <w:tc>
          <w:tcPr>
            <w:tcW w:w="2755" w:type="dxa"/>
            <w:tcBorders>
              <w:top w:val="nil"/>
              <w:left w:val="nil"/>
              <w:bottom w:val="single" w:sz="8" w:space="0" w:color="auto"/>
              <w:right w:val="single" w:sz="8" w:space="0" w:color="auto"/>
            </w:tcBorders>
            <w:shd w:val="clear" w:color="000000" w:fill="FFFFFF"/>
            <w:noWrap/>
            <w:vAlign w:val="center"/>
            <w:hideMark/>
          </w:tcPr>
          <w:p w14:paraId="2BD4FEE8"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2543D9A2" w14:textId="77777777" w:rsidR="00BD16ED" w:rsidRDefault="00BD16ED">
            <w:pPr>
              <w:rPr>
                <w:color w:val="000000"/>
                <w:sz w:val="20"/>
                <w:szCs w:val="20"/>
              </w:rPr>
            </w:pPr>
            <w:r>
              <w:rPr>
                <w:color w:val="000000"/>
                <w:sz w:val="20"/>
                <w:szCs w:val="20"/>
              </w:rPr>
              <w:t>9</w:t>
            </w:r>
          </w:p>
        </w:tc>
      </w:tr>
      <w:tr w:rsidR="00BD16ED" w14:paraId="618F69A6"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372CA386" w14:textId="77777777" w:rsidR="00BD16ED" w:rsidRDefault="00BD16ED">
            <w:pPr>
              <w:rPr>
                <w:color w:val="000000"/>
                <w:sz w:val="20"/>
                <w:szCs w:val="20"/>
              </w:rPr>
            </w:pPr>
            <w:r>
              <w:rPr>
                <w:color w:val="000000"/>
                <w:sz w:val="20"/>
                <w:szCs w:val="20"/>
              </w:rPr>
              <w:t>14.1</w:t>
            </w:r>
          </w:p>
        </w:tc>
        <w:tc>
          <w:tcPr>
            <w:tcW w:w="5580" w:type="dxa"/>
            <w:tcBorders>
              <w:top w:val="nil"/>
              <w:left w:val="nil"/>
              <w:bottom w:val="single" w:sz="8" w:space="0" w:color="auto"/>
              <w:right w:val="single" w:sz="8" w:space="0" w:color="auto"/>
            </w:tcBorders>
            <w:shd w:val="clear" w:color="000000" w:fill="FFFFFF"/>
            <w:noWrap/>
            <w:vAlign w:val="center"/>
            <w:hideMark/>
          </w:tcPr>
          <w:p w14:paraId="468A0BD1" w14:textId="77777777" w:rsidR="00BD16ED" w:rsidRDefault="00BD16ED">
            <w:pPr>
              <w:rPr>
                <w:color w:val="000000"/>
                <w:sz w:val="20"/>
                <w:szCs w:val="20"/>
              </w:rPr>
            </w:pPr>
            <w:r>
              <w:rPr>
                <w:color w:val="000000"/>
                <w:sz w:val="20"/>
                <w:szCs w:val="20"/>
              </w:rPr>
              <w:t>Review of Analytic Techniques</w:t>
            </w:r>
          </w:p>
        </w:tc>
        <w:tc>
          <w:tcPr>
            <w:tcW w:w="2755" w:type="dxa"/>
            <w:tcBorders>
              <w:top w:val="nil"/>
              <w:left w:val="nil"/>
              <w:bottom w:val="single" w:sz="8" w:space="0" w:color="auto"/>
              <w:right w:val="single" w:sz="8" w:space="0" w:color="auto"/>
            </w:tcBorders>
            <w:shd w:val="clear" w:color="000000" w:fill="FFFFFF"/>
            <w:noWrap/>
            <w:vAlign w:val="center"/>
            <w:hideMark/>
          </w:tcPr>
          <w:p w14:paraId="38F43D59"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0CE252CE" w14:textId="77777777" w:rsidR="00BD16ED" w:rsidRDefault="00BD16ED">
            <w:pPr>
              <w:rPr>
                <w:color w:val="000000"/>
                <w:sz w:val="20"/>
                <w:szCs w:val="20"/>
              </w:rPr>
            </w:pPr>
            <w:r>
              <w:rPr>
                <w:color w:val="000000"/>
                <w:sz w:val="20"/>
                <w:szCs w:val="20"/>
              </w:rPr>
              <w:t> </w:t>
            </w:r>
          </w:p>
        </w:tc>
      </w:tr>
      <w:tr w:rsidR="00BD16ED" w14:paraId="5C59B06A" w14:textId="77777777" w:rsidTr="00B12FA6">
        <w:trPr>
          <w:trHeight w:val="315"/>
        </w:trPr>
        <w:tc>
          <w:tcPr>
            <w:tcW w:w="810" w:type="dxa"/>
            <w:tcBorders>
              <w:top w:val="nil"/>
              <w:left w:val="single" w:sz="8" w:space="0" w:color="auto"/>
              <w:bottom w:val="single" w:sz="8" w:space="0" w:color="auto"/>
              <w:right w:val="single" w:sz="8" w:space="0" w:color="auto"/>
            </w:tcBorders>
            <w:shd w:val="clear" w:color="000000" w:fill="FFFFFF"/>
            <w:noWrap/>
            <w:vAlign w:val="center"/>
            <w:hideMark/>
          </w:tcPr>
          <w:p w14:paraId="55D4E3B7" w14:textId="77777777" w:rsidR="00BD16ED" w:rsidRDefault="00BD16ED">
            <w:pPr>
              <w:rPr>
                <w:color w:val="000000"/>
                <w:sz w:val="20"/>
                <w:szCs w:val="20"/>
              </w:rPr>
            </w:pPr>
            <w:r>
              <w:rPr>
                <w:color w:val="000000"/>
                <w:sz w:val="20"/>
                <w:szCs w:val="20"/>
              </w:rPr>
              <w:t>14.2</w:t>
            </w:r>
          </w:p>
        </w:tc>
        <w:tc>
          <w:tcPr>
            <w:tcW w:w="5580" w:type="dxa"/>
            <w:tcBorders>
              <w:top w:val="nil"/>
              <w:left w:val="nil"/>
              <w:bottom w:val="single" w:sz="8" w:space="0" w:color="auto"/>
              <w:right w:val="single" w:sz="8" w:space="0" w:color="auto"/>
            </w:tcBorders>
            <w:shd w:val="clear" w:color="000000" w:fill="FFFFFF"/>
            <w:noWrap/>
            <w:vAlign w:val="center"/>
            <w:hideMark/>
          </w:tcPr>
          <w:p w14:paraId="6330B839" w14:textId="77777777" w:rsidR="00BD16ED" w:rsidRDefault="00BD16ED">
            <w:pPr>
              <w:rPr>
                <w:color w:val="000000"/>
                <w:sz w:val="20"/>
                <w:szCs w:val="20"/>
              </w:rPr>
            </w:pPr>
            <w:r>
              <w:rPr>
                <w:color w:val="000000"/>
                <w:sz w:val="20"/>
                <w:szCs w:val="20"/>
              </w:rPr>
              <w:t>Review of First Principles of Marketing</w:t>
            </w:r>
          </w:p>
        </w:tc>
        <w:tc>
          <w:tcPr>
            <w:tcW w:w="2755" w:type="dxa"/>
            <w:tcBorders>
              <w:top w:val="nil"/>
              <w:left w:val="nil"/>
              <w:bottom w:val="single" w:sz="8" w:space="0" w:color="auto"/>
              <w:right w:val="single" w:sz="8" w:space="0" w:color="auto"/>
            </w:tcBorders>
            <w:shd w:val="clear" w:color="000000" w:fill="FFFFFF"/>
            <w:noWrap/>
            <w:vAlign w:val="center"/>
            <w:hideMark/>
          </w:tcPr>
          <w:p w14:paraId="5F184D41" w14:textId="77777777" w:rsidR="00BD16ED" w:rsidRDefault="00BD16ED">
            <w:pPr>
              <w:rPr>
                <w:color w:val="000000"/>
                <w:sz w:val="20"/>
                <w:szCs w:val="20"/>
              </w:rPr>
            </w:pPr>
            <w:r>
              <w:rPr>
                <w:color w:val="000000"/>
                <w:sz w:val="20"/>
                <w:szCs w:val="20"/>
              </w:rPr>
              <w:t> </w:t>
            </w:r>
          </w:p>
        </w:tc>
        <w:tc>
          <w:tcPr>
            <w:tcW w:w="928" w:type="dxa"/>
            <w:tcBorders>
              <w:top w:val="nil"/>
              <w:left w:val="nil"/>
              <w:bottom w:val="single" w:sz="8" w:space="0" w:color="auto"/>
              <w:right w:val="single" w:sz="8" w:space="0" w:color="auto"/>
            </w:tcBorders>
            <w:shd w:val="clear" w:color="000000" w:fill="FFFFFF"/>
            <w:vAlign w:val="center"/>
            <w:hideMark/>
          </w:tcPr>
          <w:p w14:paraId="42589BB1" w14:textId="77777777" w:rsidR="00BD16ED" w:rsidRDefault="00BD16ED">
            <w:pPr>
              <w:rPr>
                <w:color w:val="000000"/>
                <w:sz w:val="20"/>
                <w:szCs w:val="20"/>
              </w:rPr>
            </w:pPr>
            <w:r>
              <w:rPr>
                <w:color w:val="000000"/>
                <w:sz w:val="20"/>
                <w:szCs w:val="20"/>
              </w:rPr>
              <w:t>9</w:t>
            </w:r>
          </w:p>
        </w:tc>
      </w:tr>
    </w:tbl>
    <w:p w14:paraId="254832F2" w14:textId="5A6649F1" w:rsidR="00EC2EF4" w:rsidRPr="006C5557" w:rsidRDefault="00EC2EF4" w:rsidP="00EC2EF4">
      <w:pPr>
        <w:rPr>
          <w:rFonts w:asciiTheme="minorHAnsi" w:hAnsiTheme="minorHAnsi"/>
        </w:rPr>
      </w:pPr>
    </w:p>
    <w:p w14:paraId="1BB96587" w14:textId="77D1A78C" w:rsidR="001456B2" w:rsidRPr="006C5557" w:rsidRDefault="001456B2">
      <w:pPr>
        <w:rPr>
          <w:rFonts w:asciiTheme="minorHAnsi" w:hAnsiTheme="minorHAnsi"/>
        </w:rPr>
      </w:pPr>
    </w:p>
    <w:sectPr w:rsidR="001456B2" w:rsidRPr="006C5557" w:rsidSect="00FF62FF">
      <w:footerReference w:type="even" r:id="rId7"/>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18353" w14:textId="77777777" w:rsidR="00F45C32" w:rsidRDefault="00F45C32">
      <w:r>
        <w:separator/>
      </w:r>
    </w:p>
  </w:endnote>
  <w:endnote w:type="continuationSeparator" w:id="0">
    <w:p w14:paraId="22DDF22B" w14:textId="77777777" w:rsidR="00F45C32" w:rsidRDefault="00F4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6B98" w14:textId="77777777" w:rsidR="005D30C0" w:rsidRDefault="005D3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0D57053" w14:textId="77777777" w:rsidR="005D30C0" w:rsidRDefault="005D3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507048"/>
      <w:docPartObj>
        <w:docPartGallery w:val="Page Numbers (Bottom of Page)"/>
        <w:docPartUnique/>
      </w:docPartObj>
    </w:sdtPr>
    <w:sdtEndPr>
      <w:rPr>
        <w:noProof/>
      </w:rPr>
    </w:sdtEndPr>
    <w:sdtContent>
      <w:p w14:paraId="5E361A8E" w14:textId="5809E347" w:rsidR="005F2C2B" w:rsidRDefault="005F2C2B">
        <w:pPr>
          <w:pStyle w:val="Footer"/>
          <w:jc w:val="center"/>
        </w:pPr>
        <w:r>
          <w:fldChar w:fldCharType="begin"/>
        </w:r>
        <w:r>
          <w:instrText xml:space="preserve"> PAGE   \* MERGEFORMAT </w:instrText>
        </w:r>
        <w:r>
          <w:fldChar w:fldCharType="separate"/>
        </w:r>
        <w:r w:rsidR="00BD77F7">
          <w:rPr>
            <w:noProof/>
          </w:rPr>
          <w:t>3</w:t>
        </w:r>
        <w:r>
          <w:rPr>
            <w:noProof/>
          </w:rPr>
          <w:fldChar w:fldCharType="end"/>
        </w:r>
      </w:p>
    </w:sdtContent>
  </w:sdt>
  <w:p w14:paraId="0227A951" w14:textId="3EF87F3D" w:rsidR="005D30C0" w:rsidRDefault="005D3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7C04E" w14:textId="77777777" w:rsidR="00F45C32" w:rsidRDefault="00F45C32">
      <w:r>
        <w:separator/>
      </w:r>
    </w:p>
  </w:footnote>
  <w:footnote w:type="continuationSeparator" w:id="0">
    <w:p w14:paraId="3AECA2B4" w14:textId="77777777" w:rsidR="00F45C32" w:rsidRDefault="00F45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49A"/>
    <w:multiLevelType w:val="hybridMultilevel"/>
    <w:tmpl w:val="04069BE4"/>
    <w:lvl w:ilvl="0" w:tplc="0409000F">
      <w:start w:val="1"/>
      <w:numFmt w:val="decimal"/>
      <w:lvlText w:val="%1."/>
      <w:lvlJc w:val="left"/>
      <w:pPr>
        <w:tabs>
          <w:tab w:val="num" w:pos="760"/>
        </w:tabs>
        <w:ind w:left="7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520CF"/>
    <w:multiLevelType w:val="hybridMultilevel"/>
    <w:tmpl w:val="AC2C98E0"/>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 w15:restartNumberingAfterBreak="0">
    <w:nsid w:val="07980BB4"/>
    <w:multiLevelType w:val="hybridMultilevel"/>
    <w:tmpl w:val="30B4B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91B35"/>
    <w:multiLevelType w:val="hybridMultilevel"/>
    <w:tmpl w:val="00AAD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60299"/>
    <w:multiLevelType w:val="hybridMultilevel"/>
    <w:tmpl w:val="503C90DA"/>
    <w:lvl w:ilvl="0" w:tplc="497C8D1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374917"/>
    <w:multiLevelType w:val="hybridMultilevel"/>
    <w:tmpl w:val="9CA84CF6"/>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6" w15:restartNumberingAfterBreak="0">
    <w:nsid w:val="0D4D7B46"/>
    <w:multiLevelType w:val="hybridMultilevel"/>
    <w:tmpl w:val="17E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D377C"/>
    <w:multiLevelType w:val="hybridMultilevel"/>
    <w:tmpl w:val="82381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C2D86"/>
    <w:multiLevelType w:val="hybridMultilevel"/>
    <w:tmpl w:val="72280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A16A27"/>
    <w:multiLevelType w:val="hybridMultilevel"/>
    <w:tmpl w:val="698EE916"/>
    <w:lvl w:ilvl="0" w:tplc="0409000F">
      <w:start w:val="1"/>
      <w:numFmt w:val="decimal"/>
      <w:lvlText w:val="%1."/>
      <w:lvlJc w:val="left"/>
      <w:pPr>
        <w:tabs>
          <w:tab w:val="num" w:pos="720"/>
        </w:tabs>
        <w:ind w:left="720" w:hanging="360"/>
      </w:pPr>
    </w:lvl>
    <w:lvl w:ilvl="1" w:tplc="B06245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CA6B6F"/>
    <w:multiLevelType w:val="hybridMultilevel"/>
    <w:tmpl w:val="B0846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F01E4"/>
    <w:multiLevelType w:val="hybridMultilevel"/>
    <w:tmpl w:val="FEC45E30"/>
    <w:lvl w:ilvl="0" w:tplc="C04EFF8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004736C"/>
    <w:multiLevelType w:val="hybridMultilevel"/>
    <w:tmpl w:val="8A324B8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0522203"/>
    <w:multiLevelType w:val="hybridMultilevel"/>
    <w:tmpl w:val="F2869D12"/>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14" w15:restartNumberingAfterBreak="0">
    <w:nsid w:val="25BA1025"/>
    <w:multiLevelType w:val="hybridMultilevel"/>
    <w:tmpl w:val="35F42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DA6D37"/>
    <w:multiLevelType w:val="hybridMultilevel"/>
    <w:tmpl w:val="C8EE0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BC56CB"/>
    <w:multiLevelType w:val="hybridMultilevel"/>
    <w:tmpl w:val="EF22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E21032"/>
    <w:multiLevelType w:val="hybridMultilevel"/>
    <w:tmpl w:val="763A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7A4C06"/>
    <w:multiLevelType w:val="hybridMultilevel"/>
    <w:tmpl w:val="6D4C6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9A228D"/>
    <w:multiLevelType w:val="hybridMultilevel"/>
    <w:tmpl w:val="CE80C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6D29E7"/>
    <w:multiLevelType w:val="hybridMultilevel"/>
    <w:tmpl w:val="580E67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05FAB"/>
    <w:multiLevelType w:val="hybridMultilevel"/>
    <w:tmpl w:val="D52C72AA"/>
    <w:lvl w:ilvl="0" w:tplc="85523760">
      <w:start w:val="1"/>
      <w:numFmt w:val="bullet"/>
      <w:lvlText w:val=""/>
      <w:lvlJc w:val="left"/>
      <w:pPr>
        <w:tabs>
          <w:tab w:val="num" w:pos="720"/>
        </w:tabs>
        <w:ind w:left="720" w:hanging="360"/>
      </w:pPr>
      <w:rPr>
        <w:rFonts w:ascii="Symbol" w:hAnsi="Symbol" w:hint="default"/>
        <w:sz w:val="20"/>
      </w:rPr>
    </w:lvl>
    <w:lvl w:ilvl="1" w:tplc="D6785064" w:tentative="1">
      <w:start w:val="1"/>
      <w:numFmt w:val="bullet"/>
      <w:lvlText w:val="o"/>
      <w:lvlJc w:val="left"/>
      <w:pPr>
        <w:tabs>
          <w:tab w:val="num" w:pos="1440"/>
        </w:tabs>
        <w:ind w:left="1440" w:hanging="360"/>
      </w:pPr>
      <w:rPr>
        <w:rFonts w:ascii="Courier New" w:hAnsi="Courier New" w:hint="default"/>
        <w:sz w:val="20"/>
      </w:rPr>
    </w:lvl>
    <w:lvl w:ilvl="2" w:tplc="84E6EC5C" w:tentative="1">
      <w:start w:val="1"/>
      <w:numFmt w:val="bullet"/>
      <w:lvlText w:val=""/>
      <w:lvlJc w:val="left"/>
      <w:pPr>
        <w:tabs>
          <w:tab w:val="num" w:pos="2160"/>
        </w:tabs>
        <w:ind w:left="2160" w:hanging="360"/>
      </w:pPr>
      <w:rPr>
        <w:rFonts w:ascii="Wingdings" w:hAnsi="Wingdings" w:hint="default"/>
        <w:sz w:val="20"/>
      </w:rPr>
    </w:lvl>
    <w:lvl w:ilvl="3" w:tplc="14D69FE6" w:tentative="1">
      <w:start w:val="1"/>
      <w:numFmt w:val="bullet"/>
      <w:lvlText w:val=""/>
      <w:lvlJc w:val="left"/>
      <w:pPr>
        <w:tabs>
          <w:tab w:val="num" w:pos="2880"/>
        </w:tabs>
        <w:ind w:left="2880" w:hanging="360"/>
      </w:pPr>
      <w:rPr>
        <w:rFonts w:ascii="Wingdings" w:hAnsi="Wingdings" w:hint="default"/>
        <w:sz w:val="20"/>
      </w:rPr>
    </w:lvl>
    <w:lvl w:ilvl="4" w:tplc="D6F4CC34" w:tentative="1">
      <w:start w:val="1"/>
      <w:numFmt w:val="bullet"/>
      <w:lvlText w:val=""/>
      <w:lvlJc w:val="left"/>
      <w:pPr>
        <w:tabs>
          <w:tab w:val="num" w:pos="3600"/>
        </w:tabs>
        <w:ind w:left="3600" w:hanging="360"/>
      </w:pPr>
      <w:rPr>
        <w:rFonts w:ascii="Wingdings" w:hAnsi="Wingdings" w:hint="default"/>
        <w:sz w:val="20"/>
      </w:rPr>
    </w:lvl>
    <w:lvl w:ilvl="5" w:tplc="9F38AA80" w:tentative="1">
      <w:start w:val="1"/>
      <w:numFmt w:val="bullet"/>
      <w:lvlText w:val=""/>
      <w:lvlJc w:val="left"/>
      <w:pPr>
        <w:tabs>
          <w:tab w:val="num" w:pos="4320"/>
        </w:tabs>
        <w:ind w:left="4320" w:hanging="360"/>
      </w:pPr>
      <w:rPr>
        <w:rFonts w:ascii="Wingdings" w:hAnsi="Wingdings" w:hint="default"/>
        <w:sz w:val="20"/>
      </w:rPr>
    </w:lvl>
    <w:lvl w:ilvl="6" w:tplc="612C5250" w:tentative="1">
      <w:start w:val="1"/>
      <w:numFmt w:val="bullet"/>
      <w:lvlText w:val=""/>
      <w:lvlJc w:val="left"/>
      <w:pPr>
        <w:tabs>
          <w:tab w:val="num" w:pos="5040"/>
        </w:tabs>
        <w:ind w:left="5040" w:hanging="360"/>
      </w:pPr>
      <w:rPr>
        <w:rFonts w:ascii="Wingdings" w:hAnsi="Wingdings" w:hint="default"/>
        <w:sz w:val="20"/>
      </w:rPr>
    </w:lvl>
    <w:lvl w:ilvl="7" w:tplc="21809CC2" w:tentative="1">
      <w:start w:val="1"/>
      <w:numFmt w:val="bullet"/>
      <w:lvlText w:val=""/>
      <w:lvlJc w:val="left"/>
      <w:pPr>
        <w:tabs>
          <w:tab w:val="num" w:pos="5760"/>
        </w:tabs>
        <w:ind w:left="5760" w:hanging="360"/>
      </w:pPr>
      <w:rPr>
        <w:rFonts w:ascii="Wingdings" w:hAnsi="Wingdings" w:hint="default"/>
        <w:sz w:val="20"/>
      </w:rPr>
    </w:lvl>
    <w:lvl w:ilvl="8" w:tplc="28942BA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B2E95"/>
    <w:multiLevelType w:val="hybridMultilevel"/>
    <w:tmpl w:val="0E74BBE2"/>
    <w:lvl w:ilvl="0" w:tplc="C214240A">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3" w15:restartNumberingAfterBreak="0">
    <w:nsid w:val="3DD319E2"/>
    <w:multiLevelType w:val="hybridMultilevel"/>
    <w:tmpl w:val="4D3ED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D77E29"/>
    <w:multiLevelType w:val="hybridMultilevel"/>
    <w:tmpl w:val="97700B00"/>
    <w:lvl w:ilvl="0" w:tplc="5D62DEC4">
      <w:start w:val="1"/>
      <w:numFmt w:val="decimal"/>
      <w:lvlText w:val="%1."/>
      <w:lvlJc w:val="left"/>
      <w:pPr>
        <w:ind w:left="1080" w:hanging="360"/>
      </w:pPr>
    </w:lvl>
    <w:lvl w:ilvl="1" w:tplc="7974E956">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F671ACB"/>
    <w:multiLevelType w:val="hybridMultilevel"/>
    <w:tmpl w:val="02060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133D05"/>
    <w:multiLevelType w:val="hybridMultilevel"/>
    <w:tmpl w:val="6DAE2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71361A"/>
    <w:multiLevelType w:val="hybridMultilevel"/>
    <w:tmpl w:val="A84CE33A"/>
    <w:lvl w:ilvl="0" w:tplc="9198EAC0">
      <w:start w:val="1"/>
      <w:numFmt w:val="bullet"/>
      <w:lvlText w:val=""/>
      <w:lvlJc w:val="left"/>
      <w:pPr>
        <w:tabs>
          <w:tab w:val="num" w:pos="3780"/>
        </w:tabs>
        <w:ind w:left="37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E054932"/>
    <w:multiLevelType w:val="hybridMultilevel"/>
    <w:tmpl w:val="6C7E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234A6C"/>
    <w:multiLevelType w:val="hybridMultilevel"/>
    <w:tmpl w:val="2D207336"/>
    <w:lvl w:ilvl="0" w:tplc="E6D88678">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2874F5C"/>
    <w:multiLevelType w:val="hybridMultilevel"/>
    <w:tmpl w:val="A51E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A1EA8"/>
    <w:multiLevelType w:val="hybridMultilevel"/>
    <w:tmpl w:val="7BD64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4C046A"/>
    <w:multiLevelType w:val="hybridMultilevel"/>
    <w:tmpl w:val="3CCCA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185616"/>
    <w:multiLevelType w:val="hybridMultilevel"/>
    <w:tmpl w:val="CA70D5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2F7EDA"/>
    <w:multiLevelType w:val="hybridMultilevel"/>
    <w:tmpl w:val="6798AE8C"/>
    <w:lvl w:ilvl="0" w:tplc="04090001">
      <w:start w:val="1"/>
      <w:numFmt w:val="bullet"/>
      <w:lvlText w:val=""/>
      <w:lvlJc w:val="left"/>
      <w:pPr>
        <w:tabs>
          <w:tab w:val="num" w:pos="720"/>
        </w:tabs>
        <w:ind w:left="720" w:hanging="360"/>
      </w:pPr>
      <w:rPr>
        <w:rFonts w:ascii="Symbol" w:hAnsi="Symbol" w:hint="default"/>
      </w:rPr>
    </w:lvl>
    <w:lvl w:ilvl="1" w:tplc="87EE55B8">
      <w:start w:val="1"/>
      <w:numFmt w:val="decimal"/>
      <w:lvlText w:val="%2."/>
      <w:lvlJc w:val="left"/>
      <w:pPr>
        <w:tabs>
          <w:tab w:val="num" w:pos="1440"/>
        </w:tabs>
        <w:ind w:left="1440" w:hanging="360"/>
      </w:pPr>
    </w:lvl>
    <w:lvl w:ilvl="2" w:tplc="EA02EC2E" w:tentative="1">
      <w:start w:val="1"/>
      <w:numFmt w:val="decimal"/>
      <w:lvlText w:val="%3."/>
      <w:lvlJc w:val="left"/>
      <w:pPr>
        <w:tabs>
          <w:tab w:val="num" w:pos="2160"/>
        </w:tabs>
        <w:ind w:left="2160" w:hanging="360"/>
      </w:pPr>
    </w:lvl>
    <w:lvl w:ilvl="3" w:tplc="5D2855C6" w:tentative="1">
      <w:start w:val="1"/>
      <w:numFmt w:val="decimal"/>
      <w:lvlText w:val="%4."/>
      <w:lvlJc w:val="left"/>
      <w:pPr>
        <w:tabs>
          <w:tab w:val="num" w:pos="2880"/>
        </w:tabs>
        <w:ind w:left="2880" w:hanging="360"/>
      </w:pPr>
    </w:lvl>
    <w:lvl w:ilvl="4" w:tplc="F6083CDE" w:tentative="1">
      <w:start w:val="1"/>
      <w:numFmt w:val="decimal"/>
      <w:lvlText w:val="%5."/>
      <w:lvlJc w:val="left"/>
      <w:pPr>
        <w:tabs>
          <w:tab w:val="num" w:pos="3600"/>
        </w:tabs>
        <w:ind w:left="3600" w:hanging="360"/>
      </w:pPr>
    </w:lvl>
    <w:lvl w:ilvl="5" w:tplc="9676AC32" w:tentative="1">
      <w:start w:val="1"/>
      <w:numFmt w:val="decimal"/>
      <w:lvlText w:val="%6."/>
      <w:lvlJc w:val="left"/>
      <w:pPr>
        <w:tabs>
          <w:tab w:val="num" w:pos="4320"/>
        </w:tabs>
        <w:ind w:left="4320" w:hanging="360"/>
      </w:pPr>
    </w:lvl>
    <w:lvl w:ilvl="6" w:tplc="ADB6D4B2" w:tentative="1">
      <w:start w:val="1"/>
      <w:numFmt w:val="decimal"/>
      <w:lvlText w:val="%7."/>
      <w:lvlJc w:val="left"/>
      <w:pPr>
        <w:tabs>
          <w:tab w:val="num" w:pos="5040"/>
        </w:tabs>
        <w:ind w:left="5040" w:hanging="360"/>
      </w:pPr>
    </w:lvl>
    <w:lvl w:ilvl="7" w:tplc="41EEC06A" w:tentative="1">
      <w:start w:val="1"/>
      <w:numFmt w:val="decimal"/>
      <w:lvlText w:val="%8."/>
      <w:lvlJc w:val="left"/>
      <w:pPr>
        <w:tabs>
          <w:tab w:val="num" w:pos="5760"/>
        </w:tabs>
        <w:ind w:left="5760" w:hanging="360"/>
      </w:pPr>
    </w:lvl>
    <w:lvl w:ilvl="8" w:tplc="22FED7CE" w:tentative="1">
      <w:start w:val="1"/>
      <w:numFmt w:val="decimal"/>
      <w:lvlText w:val="%9."/>
      <w:lvlJc w:val="left"/>
      <w:pPr>
        <w:tabs>
          <w:tab w:val="num" w:pos="6480"/>
        </w:tabs>
        <w:ind w:left="6480" w:hanging="360"/>
      </w:pPr>
    </w:lvl>
  </w:abstractNum>
  <w:abstractNum w:abstractNumId="35" w15:restartNumberingAfterBreak="0">
    <w:nsid w:val="647245C4"/>
    <w:multiLevelType w:val="hybridMultilevel"/>
    <w:tmpl w:val="57D29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CF034E"/>
    <w:multiLevelType w:val="hybridMultilevel"/>
    <w:tmpl w:val="0D70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725E08"/>
    <w:multiLevelType w:val="hybridMultilevel"/>
    <w:tmpl w:val="5330E92C"/>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38" w15:restartNumberingAfterBreak="0">
    <w:nsid w:val="6B6C6EDE"/>
    <w:multiLevelType w:val="hybridMultilevel"/>
    <w:tmpl w:val="2EEA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D699E"/>
    <w:multiLevelType w:val="hybridMultilevel"/>
    <w:tmpl w:val="474E1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BC7D67"/>
    <w:multiLevelType w:val="hybridMultilevel"/>
    <w:tmpl w:val="4CCE0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D94D8B"/>
    <w:multiLevelType w:val="hybridMultilevel"/>
    <w:tmpl w:val="248EB22E"/>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42" w15:restartNumberingAfterBreak="0">
    <w:nsid w:val="7A100F2E"/>
    <w:multiLevelType w:val="hybridMultilevel"/>
    <w:tmpl w:val="F0382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2D6938"/>
    <w:multiLevelType w:val="hybridMultilevel"/>
    <w:tmpl w:val="88F24D6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11"/>
  </w:num>
  <w:num w:numId="2">
    <w:abstractNumId w:val="4"/>
  </w:num>
  <w:num w:numId="3">
    <w:abstractNumId w:val="29"/>
  </w:num>
  <w:num w:numId="4">
    <w:abstractNumId w:val="18"/>
  </w:num>
  <w:num w:numId="5">
    <w:abstractNumId w:val="40"/>
  </w:num>
  <w:num w:numId="6">
    <w:abstractNumId w:val="25"/>
  </w:num>
  <w:num w:numId="7">
    <w:abstractNumId w:val="23"/>
  </w:num>
  <w:num w:numId="8">
    <w:abstractNumId w:val="19"/>
  </w:num>
  <w:num w:numId="9">
    <w:abstractNumId w:val="21"/>
  </w:num>
  <w:num w:numId="10">
    <w:abstractNumId w:val="13"/>
  </w:num>
  <w:num w:numId="11">
    <w:abstractNumId w:val="5"/>
  </w:num>
  <w:num w:numId="12">
    <w:abstractNumId w:val="37"/>
  </w:num>
  <w:num w:numId="13">
    <w:abstractNumId w:val="1"/>
  </w:num>
  <w:num w:numId="14">
    <w:abstractNumId w:val="2"/>
  </w:num>
  <w:num w:numId="15">
    <w:abstractNumId w:val="9"/>
  </w:num>
  <w:num w:numId="16">
    <w:abstractNumId w:val="33"/>
  </w:num>
  <w:num w:numId="17">
    <w:abstractNumId w:val="27"/>
  </w:num>
  <w:num w:numId="18">
    <w:abstractNumId w:val="10"/>
  </w:num>
  <w:num w:numId="19">
    <w:abstractNumId w:val="36"/>
  </w:num>
  <w:num w:numId="20">
    <w:abstractNumId w:val="42"/>
  </w:num>
  <w:num w:numId="21">
    <w:abstractNumId w:val="0"/>
  </w:num>
  <w:num w:numId="22">
    <w:abstractNumId w:val="39"/>
  </w:num>
  <w:num w:numId="23">
    <w:abstractNumId w:val="8"/>
  </w:num>
  <w:num w:numId="24">
    <w:abstractNumId w:val="26"/>
  </w:num>
  <w:num w:numId="25">
    <w:abstractNumId w:val="35"/>
  </w:num>
  <w:num w:numId="26">
    <w:abstractNumId w:val="14"/>
  </w:num>
  <w:num w:numId="27">
    <w:abstractNumId w:val="3"/>
  </w:num>
  <w:num w:numId="28">
    <w:abstractNumId w:val="17"/>
  </w:num>
  <w:num w:numId="29">
    <w:abstractNumId w:val="41"/>
  </w:num>
  <w:num w:numId="30">
    <w:abstractNumId w:val="15"/>
  </w:num>
  <w:num w:numId="31">
    <w:abstractNumId w:val="34"/>
  </w:num>
  <w:num w:numId="32">
    <w:abstractNumId w:val="38"/>
  </w:num>
  <w:num w:numId="33">
    <w:abstractNumId w:val="31"/>
  </w:num>
  <w:num w:numId="34">
    <w:abstractNumId w:val="7"/>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8"/>
  </w:num>
  <w:num w:numId="39">
    <w:abstractNumId w:val="32"/>
  </w:num>
  <w:num w:numId="40">
    <w:abstractNumId w:val="12"/>
  </w:num>
  <w:num w:numId="41">
    <w:abstractNumId w:val="6"/>
  </w:num>
  <w:num w:numId="42">
    <w:abstractNumId w:val="22"/>
  </w:num>
  <w:num w:numId="43">
    <w:abstractNumId w:val="30"/>
  </w:num>
  <w:num w:numId="44">
    <w:abstractNumId w:val="4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F"/>
    <w:rsid w:val="00000A1C"/>
    <w:rsid w:val="000110B7"/>
    <w:rsid w:val="0002430B"/>
    <w:rsid w:val="00024DBC"/>
    <w:rsid w:val="00031407"/>
    <w:rsid w:val="000411BB"/>
    <w:rsid w:val="000428D0"/>
    <w:rsid w:val="00043833"/>
    <w:rsid w:val="00045250"/>
    <w:rsid w:val="0004554E"/>
    <w:rsid w:val="0005306D"/>
    <w:rsid w:val="000630F1"/>
    <w:rsid w:val="00071850"/>
    <w:rsid w:val="00076560"/>
    <w:rsid w:val="00076770"/>
    <w:rsid w:val="000771A4"/>
    <w:rsid w:val="000838D9"/>
    <w:rsid w:val="00085277"/>
    <w:rsid w:val="000855F8"/>
    <w:rsid w:val="0009023A"/>
    <w:rsid w:val="000903BC"/>
    <w:rsid w:val="000956D1"/>
    <w:rsid w:val="0009582B"/>
    <w:rsid w:val="00096B26"/>
    <w:rsid w:val="00097258"/>
    <w:rsid w:val="000A02EC"/>
    <w:rsid w:val="000A5E02"/>
    <w:rsid w:val="000A7BED"/>
    <w:rsid w:val="000B0409"/>
    <w:rsid w:val="000B18F8"/>
    <w:rsid w:val="000B392F"/>
    <w:rsid w:val="000B6147"/>
    <w:rsid w:val="000C4FC9"/>
    <w:rsid w:val="000C5399"/>
    <w:rsid w:val="000D7550"/>
    <w:rsid w:val="000E015B"/>
    <w:rsid w:val="000E06F3"/>
    <w:rsid w:val="000E08BC"/>
    <w:rsid w:val="000E0B6D"/>
    <w:rsid w:val="000E1D1C"/>
    <w:rsid w:val="000E2426"/>
    <w:rsid w:val="000E3671"/>
    <w:rsid w:val="000E7D68"/>
    <w:rsid w:val="000F1F97"/>
    <w:rsid w:val="000F3642"/>
    <w:rsid w:val="000F3692"/>
    <w:rsid w:val="000F5CD6"/>
    <w:rsid w:val="00100DC6"/>
    <w:rsid w:val="001108BB"/>
    <w:rsid w:val="00112FD7"/>
    <w:rsid w:val="00125CB5"/>
    <w:rsid w:val="00127229"/>
    <w:rsid w:val="001348AC"/>
    <w:rsid w:val="00135028"/>
    <w:rsid w:val="00142614"/>
    <w:rsid w:val="00142C72"/>
    <w:rsid w:val="001456B2"/>
    <w:rsid w:val="001478B7"/>
    <w:rsid w:val="0016153C"/>
    <w:rsid w:val="00163361"/>
    <w:rsid w:val="001634F5"/>
    <w:rsid w:val="0017798D"/>
    <w:rsid w:val="001811B6"/>
    <w:rsid w:val="0018169C"/>
    <w:rsid w:val="0018514C"/>
    <w:rsid w:val="00191CB2"/>
    <w:rsid w:val="00192871"/>
    <w:rsid w:val="00193192"/>
    <w:rsid w:val="0019385E"/>
    <w:rsid w:val="00193C78"/>
    <w:rsid w:val="00196351"/>
    <w:rsid w:val="00196D82"/>
    <w:rsid w:val="001A5403"/>
    <w:rsid w:val="001A5EBB"/>
    <w:rsid w:val="001A6024"/>
    <w:rsid w:val="001A6D1C"/>
    <w:rsid w:val="001B246C"/>
    <w:rsid w:val="001C31F4"/>
    <w:rsid w:val="001C3DB2"/>
    <w:rsid w:val="001C56E7"/>
    <w:rsid w:val="001C66C1"/>
    <w:rsid w:val="001C7315"/>
    <w:rsid w:val="001D3B23"/>
    <w:rsid w:val="001D505B"/>
    <w:rsid w:val="001E191D"/>
    <w:rsid w:val="001E2282"/>
    <w:rsid w:val="001E3714"/>
    <w:rsid w:val="001E53B5"/>
    <w:rsid w:val="001E69ED"/>
    <w:rsid w:val="001F0315"/>
    <w:rsid w:val="001F4BB3"/>
    <w:rsid w:val="001F641A"/>
    <w:rsid w:val="002033D1"/>
    <w:rsid w:val="00203BF6"/>
    <w:rsid w:val="00205933"/>
    <w:rsid w:val="00205A27"/>
    <w:rsid w:val="00206273"/>
    <w:rsid w:val="00206295"/>
    <w:rsid w:val="0020641E"/>
    <w:rsid w:val="002125AB"/>
    <w:rsid w:val="00215700"/>
    <w:rsid w:val="00217616"/>
    <w:rsid w:val="002235FC"/>
    <w:rsid w:val="00230ABE"/>
    <w:rsid w:val="00231FCA"/>
    <w:rsid w:val="0023744F"/>
    <w:rsid w:val="00240585"/>
    <w:rsid w:val="00243D94"/>
    <w:rsid w:val="00246B9A"/>
    <w:rsid w:val="00253A77"/>
    <w:rsid w:val="00254304"/>
    <w:rsid w:val="00257911"/>
    <w:rsid w:val="00264CD1"/>
    <w:rsid w:val="0027070F"/>
    <w:rsid w:val="002729C4"/>
    <w:rsid w:val="00274DB7"/>
    <w:rsid w:val="00287AF1"/>
    <w:rsid w:val="002902F5"/>
    <w:rsid w:val="00292CFB"/>
    <w:rsid w:val="00297A46"/>
    <w:rsid w:val="002A00C1"/>
    <w:rsid w:val="002A52DC"/>
    <w:rsid w:val="002B1B50"/>
    <w:rsid w:val="002B7111"/>
    <w:rsid w:val="002C45B2"/>
    <w:rsid w:val="002D1967"/>
    <w:rsid w:val="002E2FA3"/>
    <w:rsid w:val="002E4E33"/>
    <w:rsid w:val="002F047D"/>
    <w:rsid w:val="002F1689"/>
    <w:rsid w:val="002F279F"/>
    <w:rsid w:val="002F6938"/>
    <w:rsid w:val="00300D14"/>
    <w:rsid w:val="00302B87"/>
    <w:rsid w:val="00304F17"/>
    <w:rsid w:val="00305362"/>
    <w:rsid w:val="00306982"/>
    <w:rsid w:val="00306A27"/>
    <w:rsid w:val="00306A38"/>
    <w:rsid w:val="003072F0"/>
    <w:rsid w:val="003118C7"/>
    <w:rsid w:val="00315CE0"/>
    <w:rsid w:val="0032173F"/>
    <w:rsid w:val="00327F32"/>
    <w:rsid w:val="00336216"/>
    <w:rsid w:val="00342722"/>
    <w:rsid w:val="00344E2C"/>
    <w:rsid w:val="00345281"/>
    <w:rsid w:val="003452FC"/>
    <w:rsid w:val="00345FAC"/>
    <w:rsid w:val="00351E08"/>
    <w:rsid w:val="00352566"/>
    <w:rsid w:val="00371087"/>
    <w:rsid w:val="003721F6"/>
    <w:rsid w:val="00382B1E"/>
    <w:rsid w:val="00383F9B"/>
    <w:rsid w:val="00384DDF"/>
    <w:rsid w:val="003850D5"/>
    <w:rsid w:val="003909DF"/>
    <w:rsid w:val="003911BC"/>
    <w:rsid w:val="00395A6E"/>
    <w:rsid w:val="003A31DE"/>
    <w:rsid w:val="003B0F4F"/>
    <w:rsid w:val="003B2282"/>
    <w:rsid w:val="003B2FE2"/>
    <w:rsid w:val="003B7803"/>
    <w:rsid w:val="003C13D0"/>
    <w:rsid w:val="003C1995"/>
    <w:rsid w:val="003C5784"/>
    <w:rsid w:val="003C57CB"/>
    <w:rsid w:val="003D58F4"/>
    <w:rsid w:val="003D5BF5"/>
    <w:rsid w:val="003D7B84"/>
    <w:rsid w:val="003E0E6D"/>
    <w:rsid w:val="003E17B7"/>
    <w:rsid w:val="003E20F9"/>
    <w:rsid w:val="003E6F27"/>
    <w:rsid w:val="003F00F0"/>
    <w:rsid w:val="003F3196"/>
    <w:rsid w:val="003F45AA"/>
    <w:rsid w:val="003F54E7"/>
    <w:rsid w:val="003F74A5"/>
    <w:rsid w:val="003F7824"/>
    <w:rsid w:val="00402FE3"/>
    <w:rsid w:val="004061C5"/>
    <w:rsid w:val="0040686B"/>
    <w:rsid w:val="00406A30"/>
    <w:rsid w:val="0041366C"/>
    <w:rsid w:val="004151CA"/>
    <w:rsid w:val="0042053B"/>
    <w:rsid w:val="004218E1"/>
    <w:rsid w:val="00426D22"/>
    <w:rsid w:val="004278B1"/>
    <w:rsid w:val="0043001B"/>
    <w:rsid w:val="00431297"/>
    <w:rsid w:val="00434867"/>
    <w:rsid w:val="00435703"/>
    <w:rsid w:val="00437CD6"/>
    <w:rsid w:val="004433BB"/>
    <w:rsid w:val="0044729D"/>
    <w:rsid w:val="004502DF"/>
    <w:rsid w:val="00451791"/>
    <w:rsid w:val="00451F04"/>
    <w:rsid w:val="00452CFB"/>
    <w:rsid w:val="0045317D"/>
    <w:rsid w:val="004539AD"/>
    <w:rsid w:val="00465202"/>
    <w:rsid w:val="0046611F"/>
    <w:rsid w:val="00467EAD"/>
    <w:rsid w:val="00471747"/>
    <w:rsid w:val="00473C39"/>
    <w:rsid w:val="0047489A"/>
    <w:rsid w:val="004757BF"/>
    <w:rsid w:val="00481C65"/>
    <w:rsid w:val="0048407F"/>
    <w:rsid w:val="00487246"/>
    <w:rsid w:val="00487B5D"/>
    <w:rsid w:val="00494445"/>
    <w:rsid w:val="00494479"/>
    <w:rsid w:val="004954CF"/>
    <w:rsid w:val="004973E7"/>
    <w:rsid w:val="00497635"/>
    <w:rsid w:val="004A3082"/>
    <w:rsid w:val="004A7439"/>
    <w:rsid w:val="004A7CF1"/>
    <w:rsid w:val="004B09D7"/>
    <w:rsid w:val="004B33CF"/>
    <w:rsid w:val="004B3523"/>
    <w:rsid w:val="004C204F"/>
    <w:rsid w:val="004C2D08"/>
    <w:rsid w:val="004D4FCC"/>
    <w:rsid w:val="004D5FA2"/>
    <w:rsid w:val="004E15B7"/>
    <w:rsid w:val="004E71D1"/>
    <w:rsid w:val="004F7D0D"/>
    <w:rsid w:val="0050199C"/>
    <w:rsid w:val="00501CA0"/>
    <w:rsid w:val="00507EFB"/>
    <w:rsid w:val="0051025B"/>
    <w:rsid w:val="00511FF7"/>
    <w:rsid w:val="00513EFD"/>
    <w:rsid w:val="00514A0B"/>
    <w:rsid w:val="00522612"/>
    <w:rsid w:val="00523927"/>
    <w:rsid w:val="005246E3"/>
    <w:rsid w:val="00525052"/>
    <w:rsid w:val="0054171E"/>
    <w:rsid w:val="00543970"/>
    <w:rsid w:val="0054470B"/>
    <w:rsid w:val="005509D4"/>
    <w:rsid w:val="00552280"/>
    <w:rsid w:val="0056025A"/>
    <w:rsid w:val="0056069C"/>
    <w:rsid w:val="00565A7B"/>
    <w:rsid w:val="00566431"/>
    <w:rsid w:val="0057267A"/>
    <w:rsid w:val="00572C61"/>
    <w:rsid w:val="0057682F"/>
    <w:rsid w:val="0058194D"/>
    <w:rsid w:val="00583886"/>
    <w:rsid w:val="00585394"/>
    <w:rsid w:val="00587A80"/>
    <w:rsid w:val="005914CC"/>
    <w:rsid w:val="005917D9"/>
    <w:rsid w:val="00595C76"/>
    <w:rsid w:val="005A0CCB"/>
    <w:rsid w:val="005A3565"/>
    <w:rsid w:val="005A457B"/>
    <w:rsid w:val="005A6383"/>
    <w:rsid w:val="005A681E"/>
    <w:rsid w:val="005B0008"/>
    <w:rsid w:val="005B3020"/>
    <w:rsid w:val="005C0DC9"/>
    <w:rsid w:val="005C1614"/>
    <w:rsid w:val="005C3C28"/>
    <w:rsid w:val="005C3FF2"/>
    <w:rsid w:val="005C46F0"/>
    <w:rsid w:val="005C56A6"/>
    <w:rsid w:val="005C7BC2"/>
    <w:rsid w:val="005D30C0"/>
    <w:rsid w:val="005D334F"/>
    <w:rsid w:val="005D47FA"/>
    <w:rsid w:val="005D4BF0"/>
    <w:rsid w:val="005D7122"/>
    <w:rsid w:val="005E37C9"/>
    <w:rsid w:val="005E7C6C"/>
    <w:rsid w:val="005F2C2B"/>
    <w:rsid w:val="005F3465"/>
    <w:rsid w:val="005F6C32"/>
    <w:rsid w:val="006042BB"/>
    <w:rsid w:val="0060519D"/>
    <w:rsid w:val="00606C49"/>
    <w:rsid w:val="00611108"/>
    <w:rsid w:val="00612A63"/>
    <w:rsid w:val="00612AC0"/>
    <w:rsid w:val="006157A8"/>
    <w:rsid w:val="00615F98"/>
    <w:rsid w:val="00625E5F"/>
    <w:rsid w:val="006302DA"/>
    <w:rsid w:val="0063351D"/>
    <w:rsid w:val="006342F7"/>
    <w:rsid w:val="0063540A"/>
    <w:rsid w:val="00637D89"/>
    <w:rsid w:val="006446D3"/>
    <w:rsid w:val="006466CF"/>
    <w:rsid w:val="00650EEC"/>
    <w:rsid w:val="00651746"/>
    <w:rsid w:val="0065258F"/>
    <w:rsid w:val="00652B4E"/>
    <w:rsid w:val="0065554A"/>
    <w:rsid w:val="00660AC0"/>
    <w:rsid w:val="00660F2E"/>
    <w:rsid w:val="00667237"/>
    <w:rsid w:val="0067419E"/>
    <w:rsid w:val="0067592B"/>
    <w:rsid w:val="00676C9F"/>
    <w:rsid w:val="00691944"/>
    <w:rsid w:val="00693952"/>
    <w:rsid w:val="006A04FA"/>
    <w:rsid w:val="006B250B"/>
    <w:rsid w:val="006B3053"/>
    <w:rsid w:val="006B31D4"/>
    <w:rsid w:val="006C2785"/>
    <w:rsid w:val="006C5557"/>
    <w:rsid w:val="006D1825"/>
    <w:rsid w:val="006D42A6"/>
    <w:rsid w:val="006F283F"/>
    <w:rsid w:val="0070074B"/>
    <w:rsid w:val="00701AAE"/>
    <w:rsid w:val="007056F8"/>
    <w:rsid w:val="00705AB7"/>
    <w:rsid w:val="00707436"/>
    <w:rsid w:val="007078AF"/>
    <w:rsid w:val="00715F01"/>
    <w:rsid w:val="0072117F"/>
    <w:rsid w:val="00726238"/>
    <w:rsid w:val="00730104"/>
    <w:rsid w:val="00731493"/>
    <w:rsid w:val="0073175B"/>
    <w:rsid w:val="0074106A"/>
    <w:rsid w:val="00741D59"/>
    <w:rsid w:val="00746608"/>
    <w:rsid w:val="007506E3"/>
    <w:rsid w:val="00750A67"/>
    <w:rsid w:val="0075451F"/>
    <w:rsid w:val="00762984"/>
    <w:rsid w:val="00763DAD"/>
    <w:rsid w:val="00764B38"/>
    <w:rsid w:val="007658DE"/>
    <w:rsid w:val="00776409"/>
    <w:rsid w:val="00782ECB"/>
    <w:rsid w:val="00783198"/>
    <w:rsid w:val="007838D7"/>
    <w:rsid w:val="00783C2C"/>
    <w:rsid w:val="007841A9"/>
    <w:rsid w:val="00784E82"/>
    <w:rsid w:val="00790A41"/>
    <w:rsid w:val="00795839"/>
    <w:rsid w:val="007958C7"/>
    <w:rsid w:val="007A19E3"/>
    <w:rsid w:val="007A6AF9"/>
    <w:rsid w:val="007C2A78"/>
    <w:rsid w:val="007C512E"/>
    <w:rsid w:val="007C5D48"/>
    <w:rsid w:val="007C6422"/>
    <w:rsid w:val="007D212F"/>
    <w:rsid w:val="007D3184"/>
    <w:rsid w:val="007D6C89"/>
    <w:rsid w:val="007E05BB"/>
    <w:rsid w:val="007E5770"/>
    <w:rsid w:val="007F2529"/>
    <w:rsid w:val="007F3EB8"/>
    <w:rsid w:val="007F4FEB"/>
    <w:rsid w:val="007F591C"/>
    <w:rsid w:val="0080127F"/>
    <w:rsid w:val="008027BA"/>
    <w:rsid w:val="008030CE"/>
    <w:rsid w:val="00805BF3"/>
    <w:rsid w:val="00806594"/>
    <w:rsid w:val="0081340A"/>
    <w:rsid w:val="00813D8D"/>
    <w:rsid w:val="00813E68"/>
    <w:rsid w:val="0082169C"/>
    <w:rsid w:val="008216D0"/>
    <w:rsid w:val="00827ABF"/>
    <w:rsid w:val="008312CE"/>
    <w:rsid w:val="008448B3"/>
    <w:rsid w:val="00845040"/>
    <w:rsid w:val="008522B0"/>
    <w:rsid w:val="00857815"/>
    <w:rsid w:val="00863A59"/>
    <w:rsid w:val="00866AE2"/>
    <w:rsid w:val="00870AF9"/>
    <w:rsid w:val="00876B2B"/>
    <w:rsid w:val="008824EA"/>
    <w:rsid w:val="0088591E"/>
    <w:rsid w:val="00890601"/>
    <w:rsid w:val="008948BC"/>
    <w:rsid w:val="0089561B"/>
    <w:rsid w:val="00895EBA"/>
    <w:rsid w:val="008A20EF"/>
    <w:rsid w:val="008A54F8"/>
    <w:rsid w:val="008A5F1F"/>
    <w:rsid w:val="008A6A57"/>
    <w:rsid w:val="008B09E7"/>
    <w:rsid w:val="008B5B16"/>
    <w:rsid w:val="008B5EE3"/>
    <w:rsid w:val="008B68BF"/>
    <w:rsid w:val="008B7C56"/>
    <w:rsid w:val="008C6F93"/>
    <w:rsid w:val="008D347F"/>
    <w:rsid w:val="008D4A1F"/>
    <w:rsid w:val="008D75B2"/>
    <w:rsid w:val="008E0554"/>
    <w:rsid w:val="008E1096"/>
    <w:rsid w:val="008E13B1"/>
    <w:rsid w:val="008E66E5"/>
    <w:rsid w:val="008E71D7"/>
    <w:rsid w:val="008F013E"/>
    <w:rsid w:val="008F0FD3"/>
    <w:rsid w:val="008F1F23"/>
    <w:rsid w:val="008F4AC7"/>
    <w:rsid w:val="00906FE7"/>
    <w:rsid w:val="009147A7"/>
    <w:rsid w:val="009273E6"/>
    <w:rsid w:val="00927EA3"/>
    <w:rsid w:val="00936971"/>
    <w:rsid w:val="00940304"/>
    <w:rsid w:val="00940FBA"/>
    <w:rsid w:val="00942148"/>
    <w:rsid w:val="00942B7A"/>
    <w:rsid w:val="00942F7E"/>
    <w:rsid w:val="00943E12"/>
    <w:rsid w:val="00946295"/>
    <w:rsid w:val="00951995"/>
    <w:rsid w:val="00953F2E"/>
    <w:rsid w:val="00954159"/>
    <w:rsid w:val="00956672"/>
    <w:rsid w:val="00963F94"/>
    <w:rsid w:val="00965DDF"/>
    <w:rsid w:val="009662EC"/>
    <w:rsid w:val="00970917"/>
    <w:rsid w:val="00971055"/>
    <w:rsid w:val="009749AC"/>
    <w:rsid w:val="00975173"/>
    <w:rsid w:val="0097525C"/>
    <w:rsid w:val="00981980"/>
    <w:rsid w:val="00983B14"/>
    <w:rsid w:val="00983D76"/>
    <w:rsid w:val="009851D1"/>
    <w:rsid w:val="00985C0E"/>
    <w:rsid w:val="00986260"/>
    <w:rsid w:val="00991F80"/>
    <w:rsid w:val="009944E1"/>
    <w:rsid w:val="00995A6B"/>
    <w:rsid w:val="00996D85"/>
    <w:rsid w:val="009A122F"/>
    <w:rsid w:val="009A18E4"/>
    <w:rsid w:val="009A5C9B"/>
    <w:rsid w:val="009B13BA"/>
    <w:rsid w:val="009B19E3"/>
    <w:rsid w:val="009B1B8A"/>
    <w:rsid w:val="009B4AB9"/>
    <w:rsid w:val="009B4C14"/>
    <w:rsid w:val="009C08A1"/>
    <w:rsid w:val="009C63C4"/>
    <w:rsid w:val="009D1043"/>
    <w:rsid w:val="009D25E7"/>
    <w:rsid w:val="009D44AD"/>
    <w:rsid w:val="009E067E"/>
    <w:rsid w:val="009E3AE2"/>
    <w:rsid w:val="009F4F22"/>
    <w:rsid w:val="009F5B27"/>
    <w:rsid w:val="00A01F83"/>
    <w:rsid w:val="00A02BCE"/>
    <w:rsid w:val="00A02FA8"/>
    <w:rsid w:val="00A0454A"/>
    <w:rsid w:val="00A054D0"/>
    <w:rsid w:val="00A07514"/>
    <w:rsid w:val="00A129DB"/>
    <w:rsid w:val="00A167AC"/>
    <w:rsid w:val="00A2511D"/>
    <w:rsid w:val="00A27C20"/>
    <w:rsid w:val="00A33079"/>
    <w:rsid w:val="00A3695C"/>
    <w:rsid w:val="00A4298E"/>
    <w:rsid w:val="00A42F32"/>
    <w:rsid w:val="00A5689C"/>
    <w:rsid w:val="00A600F2"/>
    <w:rsid w:val="00A63BE5"/>
    <w:rsid w:val="00A669C3"/>
    <w:rsid w:val="00A721D8"/>
    <w:rsid w:val="00A74E85"/>
    <w:rsid w:val="00A75618"/>
    <w:rsid w:val="00A810F5"/>
    <w:rsid w:val="00A82849"/>
    <w:rsid w:val="00A833B9"/>
    <w:rsid w:val="00A85D4F"/>
    <w:rsid w:val="00A876F5"/>
    <w:rsid w:val="00A93427"/>
    <w:rsid w:val="00A94C18"/>
    <w:rsid w:val="00A95084"/>
    <w:rsid w:val="00AA0155"/>
    <w:rsid w:val="00AA0DCB"/>
    <w:rsid w:val="00AA3EC8"/>
    <w:rsid w:val="00AB04AA"/>
    <w:rsid w:val="00AB3784"/>
    <w:rsid w:val="00AB3E8E"/>
    <w:rsid w:val="00AB5C9E"/>
    <w:rsid w:val="00AB5ED1"/>
    <w:rsid w:val="00AC565F"/>
    <w:rsid w:val="00AC5830"/>
    <w:rsid w:val="00AD196C"/>
    <w:rsid w:val="00AD4B15"/>
    <w:rsid w:val="00AD4B59"/>
    <w:rsid w:val="00AE7460"/>
    <w:rsid w:val="00AF644C"/>
    <w:rsid w:val="00B00687"/>
    <w:rsid w:val="00B05464"/>
    <w:rsid w:val="00B06859"/>
    <w:rsid w:val="00B1277D"/>
    <w:rsid w:val="00B12FA6"/>
    <w:rsid w:val="00B1531D"/>
    <w:rsid w:val="00B1645A"/>
    <w:rsid w:val="00B16EE8"/>
    <w:rsid w:val="00B2077C"/>
    <w:rsid w:val="00B231F8"/>
    <w:rsid w:val="00B330E7"/>
    <w:rsid w:val="00B37328"/>
    <w:rsid w:val="00B411F5"/>
    <w:rsid w:val="00B468FF"/>
    <w:rsid w:val="00B47A54"/>
    <w:rsid w:val="00B56202"/>
    <w:rsid w:val="00B57DE8"/>
    <w:rsid w:val="00B65B6F"/>
    <w:rsid w:val="00B75D0A"/>
    <w:rsid w:val="00B8246C"/>
    <w:rsid w:val="00B82FEA"/>
    <w:rsid w:val="00BA0702"/>
    <w:rsid w:val="00BA258B"/>
    <w:rsid w:val="00BA4FBB"/>
    <w:rsid w:val="00BA6CFA"/>
    <w:rsid w:val="00BB33BC"/>
    <w:rsid w:val="00BB7A91"/>
    <w:rsid w:val="00BC0FDF"/>
    <w:rsid w:val="00BC25DE"/>
    <w:rsid w:val="00BC291D"/>
    <w:rsid w:val="00BC2ACB"/>
    <w:rsid w:val="00BC51F4"/>
    <w:rsid w:val="00BC58CB"/>
    <w:rsid w:val="00BD146E"/>
    <w:rsid w:val="00BD16ED"/>
    <w:rsid w:val="00BD191D"/>
    <w:rsid w:val="00BD4574"/>
    <w:rsid w:val="00BD77F7"/>
    <w:rsid w:val="00BD77FB"/>
    <w:rsid w:val="00BE03A0"/>
    <w:rsid w:val="00BE5CF1"/>
    <w:rsid w:val="00BF0428"/>
    <w:rsid w:val="00BF3DA1"/>
    <w:rsid w:val="00BF3F25"/>
    <w:rsid w:val="00BF5865"/>
    <w:rsid w:val="00C02E07"/>
    <w:rsid w:val="00C046D5"/>
    <w:rsid w:val="00C053C6"/>
    <w:rsid w:val="00C073FE"/>
    <w:rsid w:val="00C12F6A"/>
    <w:rsid w:val="00C15437"/>
    <w:rsid w:val="00C223EB"/>
    <w:rsid w:val="00C22F67"/>
    <w:rsid w:val="00C23139"/>
    <w:rsid w:val="00C259F7"/>
    <w:rsid w:val="00C270CF"/>
    <w:rsid w:val="00C34C1B"/>
    <w:rsid w:val="00C403C7"/>
    <w:rsid w:val="00C4087B"/>
    <w:rsid w:val="00C466A5"/>
    <w:rsid w:val="00C5151F"/>
    <w:rsid w:val="00C52767"/>
    <w:rsid w:val="00C55A40"/>
    <w:rsid w:val="00C57FFB"/>
    <w:rsid w:val="00C6077D"/>
    <w:rsid w:val="00C62293"/>
    <w:rsid w:val="00C75314"/>
    <w:rsid w:val="00C80A9B"/>
    <w:rsid w:val="00C81B34"/>
    <w:rsid w:val="00C81C1B"/>
    <w:rsid w:val="00C84327"/>
    <w:rsid w:val="00C85F0A"/>
    <w:rsid w:val="00C876CF"/>
    <w:rsid w:val="00C93DD4"/>
    <w:rsid w:val="00C973EA"/>
    <w:rsid w:val="00CA0246"/>
    <w:rsid w:val="00CA0BD3"/>
    <w:rsid w:val="00CA25E3"/>
    <w:rsid w:val="00CA3D0A"/>
    <w:rsid w:val="00CB366C"/>
    <w:rsid w:val="00CB3E16"/>
    <w:rsid w:val="00CB497C"/>
    <w:rsid w:val="00CB6DAD"/>
    <w:rsid w:val="00CC1171"/>
    <w:rsid w:val="00CC2988"/>
    <w:rsid w:val="00CC3C95"/>
    <w:rsid w:val="00CC7A8A"/>
    <w:rsid w:val="00CD4DAC"/>
    <w:rsid w:val="00CD59E3"/>
    <w:rsid w:val="00CE47F7"/>
    <w:rsid w:val="00CE490D"/>
    <w:rsid w:val="00CE6595"/>
    <w:rsid w:val="00CE7A1F"/>
    <w:rsid w:val="00CF2E3E"/>
    <w:rsid w:val="00D100D7"/>
    <w:rsid w:val="00D12AA4"/>
    <w:rsid w:val="00D2253A"/>
    <w:rsid w:val="00D26CF6"/>
    <w:rsid w:val="00D27E92"/>
    <w:rsid w:val="00D27F88"/>
    <w:rsid w:val="00D300C9"/>
    <w:rsid w:val="00D300F5"/>
    <w:rsid w:val="00D31AB3"/>
    <w:rsid w:val="00D3314E"/>
    <w:rsid w:val="00D34AE4"/>
    <w:rsid w:val="00D35A9B"/>
    <w:rsid w:val="00D365A2"/>
    <w:rsid w:val="00D4334B"/>
    <w:rsid w:val="00D45627"/>
    <w:rsid w:val="00D5176F"/>
    <w:rsid w:val="00D52214"/>
    <w:rsid w:val="00D560C0"/>
    <w:rsid w:val="00D579AB"/>
    <w:rsid w:val="00D602C4"/>
    <w:rsid w:val="00D60A94"/>
    <w:rsid w:val="00D61DDD"/>
    <w:rsid w:val="00D6455E"/>
    <w:rsid w:val="00D64F75"/>
    <w:rsid w:val="00D65C17"/>
    <w:rsid w:val="00D66D17"/>
    <w:rsid w:val="00D67117"/>
    <w:rsid w:val="00D70C49"/>
    <w:rsid w:val="00D8058C"/>
    <w:rsid w:val="00D87F98"/>
    <w:rsid w:val="00D90AEA"/>
    <w:rsid w:val="00D9362E"/>
    <w:rsid w:val="00DA2408"/>
    <w:rsid w:val="00DA340A"/>
    <w:rsid w:val="00DB2BB4"/>
    <w:rsid w:val="00DC0988"/>
    <w:rsid w:val="00DC2B8F"/>
    <w:rsid w:val="00DC6DFA"/>
    <w:rsid w:val="00DD5A35"/>
    <w:rsid w:val="00DE0C35"/>
    <w:rsid w:val="00DE119B"/>
    <w:rsid w:val="00DE124D"/>
    <w:rsid w:val="00DE2468"/>
    <w:rsid w:val="00DE7E80"/>
    <w:rsid w:val="00DF00AB"/>
    <w:rsid w:val="00DF0560"/>
    <w:rsid w:val="00DF6185"/>
    <w:rsid w:val="00E00143"/>
    <w:rsid w:val="00E00AFD"/>
    <w:rsid w:val="00E0134B"/>
    <w:rsid w:val="00E01706"/>
    <w:rsid w:val="00E0216C"/>
    <w:rsid w:val="00E0764D"/>
    <w:rsid w:val="00E10A0B"/>
    <w:rsid w:val="00E126ED"/>
    <w:rsid w:val="00E15278"/>
    <w:rsid w:val="00E2248F"/>
    <w:rsid w:val="00E275C8"/>
    <w:rsid w:val="00E312B7"/>
    <w:rsid w:val="00E35266"/>
    <w:rsid w:val="00E36481"/>
    <w:rsid w:val="00E36B92"/>
    <w:rsid w:val="00E36E5D"/>
    <w:rsid w:val="00E37BEE"/>
    <w:rsid w:val="00E4460B"/>
    <w:rsid w:val="00E45311"/>
    <w:rsid w:val="00E52874"/>
    <w:rsid w:val="00E605E7"/>
    <w:rsid w:val="00E64954"/>
    <w:rsid w:val="00E65073"/>
    <w:rsid w:val="00E67EAE"/>
    <w:rsid w:val="00E7514C"/>
    <w:rsid w:val="00E803B7"/>
    <w:rsid w:val="00E81F86"/>
    <w:rsid w:val="00E82C50"/>
    <w:rsid w:val="00E8377D"/>
    <w:rsid w:val="00E92E36"/>
    <w:rsid w:val="00E94E4B"/>
    <w:rsid w:val="00EA059A"/>
    <w:rsid w:val="00EA06D8"/>
    <w:rsid w:val="00EA27A2"/>
    <w:rsid w:val="00EA4C09"/>
    <w:rsid w:val="00EB6331"/>
    <w:rsid w:val="00EC2EF4"/>
    <w:rsid w:val="00ED03DE"/>
    <w:rsid w:val="00ED4632"/>
    <w:rsid w:val="00ED7BFF"/>
    <w:rsid w:val="00EE1832"/>
    <w:rsid w:val="00EE51E0"/>
    <w:rsid w:val="00EF052E"/>
    <w:rsid w:val="00EF10D4"/>
    <w:rsid w:val="00EF3B36"/>
    <w:rsid w:val="00EF4E59"/>
    <w:rsid w:val="00F044B8"/>
    <w:rsid w:val="00F047E1"/>
    <w:rsid w:val="00F04AAC"/>
    <w:rsid w:val="00F07671"/>
    <w:rsid w:val="00F10E73"/>
    <w:rsid w:val="00F12051"/>
    <w:rsid w:val="00F148AF"/>
    <w:rsid w:val="00F205AE"/>
    <w:rsid w:val="00F20921"/>
    <w:rsid w:val="00F23EEA"/>
    <w:rsid w:val="00F26A5E"/>
    <w:rsid w:val="00F37A42"/>
    <w:rsid w:val="00F42CC8"/>
    <w:rsid w:val="00F45C32"/>
    <w:rsid w:val="00F46FF2"/>
    <w:rsid w:val="00F50771"/>
    <w:rsid w:val="00F526D7"/>
    <w:rsid w:val="00F53B98"/>
    <w:rsid w:val="00F54332"/>
    <w:rsid w:val="00F57061"/>
    <w:rsid w:val="00F7027C"/>
    <w:rsid w:val="00F7089E"/>
    <w:rsid w:val="00F71752"/>
    <w:rsid w:val="00F73D71"/>
    <w:rsid w:val="00F73ECE"/>
    <w:rsid w:val="00F745D7"/>
    <w:rsid w:val="00F80340"/>
    <w:rsid w:val="00F82C0A"/>
    <w:rsid w:val="00F83347"/>
    <w:rsid w:val="00F84233"/>
    <w:rsid w:val="00F84511"/>
    <w:rsid w:val="00F847BD"/>
    <w:rsid w:val="00F856AF"/>
    <w:rsid w:val="00F87206"/>
    <w:rsid w:val="00F87DE6"/>
    <w:rsid w:val="00F900C6"/>
    <w:rsid w:val="00F91645"/>
    <w:rsid w:val="00F944B4"/>
    <w:rsid w:val="00F94964"/>
    <w:rsid w:val="00F95369"/>
    <w:rsid w:val="00FA023F"/>
    <w:rsid w:val="00FA60F2"/>
    <w:rsid w:val="00FB5E6A"/>
    <w:rsid w:val="00FB76EA"/>
    <w:rsid w:val="00FC631A"/>
    <w:rsid w:val="00FC7289"/>
    <w:rsid w:val="00FC729C"/>
    <w:rsid w:val="00FD0E0D"/>
    <w:rsid w:val="00FD758C"/>
    <w:rsid w:val="00FD7941"/>
    <w:rsid w:val="00FE2C39"/>
    <w:rsid w:val="00FE3F77"/>
    <w:rsid w:val="00FE76E4"/>
    <w:rsid w:val="00FF019C"/>
    <w:rsid w:val="00FF1D7F"/>
    <w:rsid w:val="00FF2826"/>
    <w:rsid w:val="00FF36F8"/>
    <w:rsid w:val="00FF5ABC"/>
    <w:rsid w:val="00FF62FF"/>
    <w:rsid w:val="00FF6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EEE14"/>
  <w15:docId w15:val="{3F8D2BB1-7C93-4A1B-AD89-35810656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2E"/>
    <w:rPr>
      <w:sz w:val="24"/>
      <w:szCs w:val="24"/>
    </w:rPr>
  </w:style>
  <w:style w:type="paragraph" w:styleId="Heading1">
    <w:name w:val="heading 1"/>
    <w:basedOn w:val="Normal"/>
    <w:next w:val="Normal"/>
    <w:qFormat/>
    <w:rsid w:val="00D9362E"/>
    <w:pPr>
      <w:keepNext/>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62E"/>
    <w:rPr>
      <w:color w:val="0000FF"/>
      <w:u w:val="single"/>
    </w:rPr>
  </w:style>
  <w:style w:type="paragraph" w:styleId="Header">
    <w:name w:val="header"/>
    <w:basedOn w:val="Normal"/>
    <w:rsid w:val="00D9362E"/>
    <w:pPr>
      <w:tabs>
        <w:tab w:val="center" w:pos="4320"/>
        <w:tab w:val="right" w:pos="8640"/>
      </w:tabs>
    </w:pPr>
  </w:style>
  <w:style w:type="paragraph" w:styleId="Footer">
    <w:name w:val="footer"/>
    <w:basedOn w:val="Normal"/>
    <w:link w:val="FooterChar"/>
    <w:uiPriority w:val="99"/>
    <w:rsid w:val="00D9362E"/>
    <w:pPr>
      <w:tabs>
        <w:tab w:val="center" w:pos="4320"/>
        <w:tab w:val="right" w:pos="8640"/>
      </w:tabs>
    </w:pPr>
  </w:style>
  <w:style w:type="character" w:styleId="PageNumber">
    <w:name w:val="page number"/>
    <w:basedOn w:val="DefaultParagraphFont"/>
    <w:rsid w:val="00D9362E"/>
  </w:style>
  <w:style w:type="paragraph" w:styleId="BodyTextIndent">
    <w:name w:val="Body Text Indent"/>
    <w:basedOn w:val="Normal"/>
    <w:rsid w:val="00D9362E"/>
    <w:pPr>
      <w:ind w:firstLine="700"/>
    </w:pPr>
  </w:style>
  <w:style w:type="character" w:customStyle="1" w:styleId="bodytextbold1">
    <w:name w:val="bodytextbold1"/>
    <w:basedOn w:val="DefaultParagraphFont"/>
    <w:rsid w:val="00D9362E"/>
    <w:rPr>
      <w:rFonts w:ascii="Verdana" w:hAnsi="Verdana" w:hint="default"/>
      <w:b/>
      <w:bCs/>
      <w:color w:val="333333"/>
      <w:sz w:val="16"/>
      <w:szCs w:val="16"/>
    </w:rPr>
  </w:style>
  <w:style w:type="paragraph" w:styleId="NormalWeb">
    <w:name w:val="Normal (Web)"/>
    <w:basedOn w:val="Normal"/>
    <w:rsid w:val="00D9362E"/>
    <w:pPr>
      <w:spacing w:before="100" w:beforeAutospacing="1" w:after="100" w:afterAutospacing="1"/>
    </w:pPr>
  </w:style>
  <w:style w:type="paragraph" w:styleId="BalloonText">
    <w:name w:val="Balloon Text"/>
    <w:basedOn w:val="Normal"/>
    <w:semiHidden/>
    <w:rsid w:val="00D9362E"/>
    <w:rPr>
      <w:rFonts w:ascii="Tahoma" w:hAnsi="Tahoma" w:cs="Tahoma"/>
      <w:sz w:val="16"/>
      <w:szCs w:val="16"/>
    </w:rPr>
  </w:style>
  <w:style w:type="paragraph" w:styleId="BodyText">
    <w:name w:val="Body Text"/>
    <w:basedOn w:val="Normal"/>
    <w:rsid w:val="00D67117"/>
    <w:pPr>
      <w:widowControl w:val="0"/>
      <w:spacing w:after="120"/>
    </w:pPr>
    <w:rPr>
      <w:rFonts w:ascii="Courier New" w:hAnsi="Courier New"/>
      <w:snapToGrid w:val="0"/>
      <w:szCs w:val="20"/>
    </w:rPr>
  </w:style>
  <w:style w:type="paragraph" w:styleId="Subtitle">
    <w:name w:val="Subtitle"/>
    <w:basedOn w:val="Normal"/>
    <w:qFormat/>
    <w:rsid w:val="002033D1"/>
    <w:pPr>
      <w:jc w:val="center"/>
    </w:pPr>
    <w:rPr>
      <w:sz w:val="28"/>
      <w:u w:val="single"/>
    </w:rPr>
  </w:style>
  <w:style w:type="paragraph" w:styleId="ListParagraph">
    <w:name w:val="List Paragraph"/>
    <w:basedOn w:val="Normal"/>
    <w:uiPriority w:val="34"/>
    <w:qFormat/>
    <w:rsid w:val="00E15278"/>
    <w:pPr>
      <w:ind w:left="720"/>
      <w:contextualSpacing/>
    </w:pPr>
  </w:style>
  <w:style w:type="character" w:styleId="FollowedHyperlink">
    <w:name w:val="FollowedHyperlink"/>
    <w:basedOn w:val="DefaultParagraphFont"/>
    <w:rsid w:val="00763DAD"/>
    <w:rPr>
      <w:color w:val="800080" w:themeColor="followedHyperlink"/>
      <w:u w:val="single"/>
    </w:rPr>
  </w:style>
  <w:style w:type="paragraph" w:styleId="BodyTextIndent2">
    <w:name w:val="Body Text Indent 2"/>
    <w:basedOn w:val="Normal"/>
    <w:link w:val="BodyTextIndent2Char"/>
    <w:semiHidden/>
    <w:unhideWhenUsed/>
    <w:rsid w:val="00ED4632"/>
    <w:pPr>
      <w:spacing w:after="120" w:line="480" w:lineRule="auto"/>
      <w:ind w:left="360"/>
    </w:pPr>
  </w:style>
  <w:style w:type="character" w:customStyle="1" w:styleId="BodyTextIndent2Char">
    <w:name w:val="Body Text Indent 2 Char"/>
    <w:basedOn w:val="DefaultParagraphFont"/>
    <w:link w:val="BodyTextIndent2"/>
    <w:semiHidden/>
    <w:rsid w:val="00ED4632"/>
    <w:rPr>
      <w:sz w:val="24"/>
      <w:szCs w:val="24"/>
    </w:rPr>
  </w:style>
  <w:style w:type="paragraph" w:styleId="BodyText2">
    <w:name w:val="Body Text 2"/>
    <w:basedOn w:val="Normal"/>
    <w:link w:val="BodyText2Char"/>
    <w:semiHidden/>
    <w:unhideWhenUsed/>
    <w:rsid w:val="00ED4632"/>
    <w:pPr>
      <w:spacing w:after="120" w:line="480" w:lineRule="auto"/>
    </w:pPr>
  </w:style>
  <w:style w:type="character" w:customStyle="1" w:styleId="BodyText2Char">
    <w:name w:val="Body Text 2 Char"/>
    <w:basedOn w:val="DefaultParagraphFont"/>
    <w:link w:val="BodyText2"/>
    <w:semiHidden/>
    <w:rsid w:val="00ED4632"/>
    <w:rPr>
      <w:sz w:val="24"/>
      <w:szCs w:val="24"/>
    </w:rPr>
  </w:style>
  <w:style w:type="table" w:styleId="LightGrid">
    <w:name w:val="Light Grid"/>
    <w:basedOn w:val="TableNormal"/>
    <w:uiPriority w:val="62"/>
    <w:unhideWhenUsed/>
    <w:rsid w:val="00ED46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
    <w:name w:val="Light Grid1"/>
    <w:basedOn w:val="TableNormal"/>
    <w:next w:val="LightGrid"/>
    <w:uiPriority w:val="62"/>
    <w:rsid w:val="00EC2E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EC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F2C2B"/>
    <w:rPr>
      <w:sz w:val="24"/>
      <w:szCs w:val="24"/>
    </w:rPr>
  </w:style>
  <w:style w:type="paragraph" w:customStyle="1" w:styleId="Default">
    <w:name w:val="Default"/>
    <w:rsid w:val="000E36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567">
      <w:bodyDiv w:val="1"/>
      <w:marLeft w:val="0"/>
      <w:marRight w:val="0"/>
      <w:marTop w:val="0"/>
      <w:marBottom w:val="0"/>
      <w:divBdr>
        <w:top w:val="none" w:sz="0" w:space="0" w:color="auto"/>
        <w:left w:val="none" w:sz="0" w:space="0" w:color="auto"/>
        <w:bottom w:val="none" w:sz="0" w:space="0" w:color="auto"/>
        <w:right w:val="none" w:sz="0" w:space="0" w:color="auto"/>
      </w:divBdr>
    </w:div>
    <w:div w:id="147332642">
      <w:bodyDiv w:val="1"/>
      <w:marLeft w:val="0"/>
      <w:marRight w:val="0"/>
      <w:marTop w:val="0"/>
      <w:marBottom w:val="0"/>
      <w:divBdr>
        <w:top w:val="none" w:sz="0" w:space="0" w:color="auto"/>
        <w:left w:val="none" w:sz="0" w:space="0" w:color="auto"/>
        <w:bottom w:val="none" w:sz="0" w:space="0" w:color="auto"/>
        <w:right w:val="none" w:sz="0" w:space="0" w:color="auto"/>
      </w:divBdr>
    </w:div>
    <w:div w:id="234437927">
      <w:bodyDiv w:val="1"/>
      <w:marLeft w:val="0"/>
      <w:marRight w:val="0"/>
      <w:marTop w:val="0"/>
      <w:marBottom w:val="0"/>
      <w:divBdr>
        <w:top w:val="none" w:sz="0" w:space="0" w:color="auto"/>
        <w:left w:val="none" w:sz="0" w:space="0" w:color="auto"/>
        <w:bottom w:val="none" w:sz="0" w:space="0" w:color="auto"/>
        <w:right w:val="none" w:sz="0" w:space="0" w:color="auto"/>
      </w:divBdr>
    </w:div>
    <w:div w:id="245382765">
      <w:bodyDiv w:val="1"/>
      <w:marLeft w:val="0"/>
      <w:marRight w:val="0"/>
      <w:marTop w:val="0"/>
      <w:marBottom w:val="0"/>
      <w:divBdr>
        <w:top w:val="none" w:sz="0" w:space="0" w:color="auto"/>
        <w:left w:val="none" w:sz="0" w:space="0" w:color="auto"/>
        <w:bottom w:val="none" w:sz="0" w:space="0" w:color="auto"/>
        <w:right w:val="none" w:sz="0" w:space="0" w:color="auto"/>
      </w:divBdr>
    </w:div>
    <w:div w:id="499465913">
      <w:bodyDiv w:val="1"/>
      <w:marLeft w:val="0"/>
      <w:marRight w:val="0"/>
      <w:marTop w:val="0"/>
      <w:marBottom w:val="0"/>
      <w:divBdr>
        <w:top w:val="none" w:sz="0" w:space="0" w:color="auto"/>
        <w:left w:val="none" w:sz="0" w:space="0" w:color="auto"/>
        <w:bottom w:val="none" w:sz="0" w:space="0" w:color="auto"/>
        <w:right w:val="none" w:sz="0" w:space="0" w:color="auto"/>
      </w:divBdr>
      <w:divsChild>
        <w:div w:id="1501122036">
          <w:marLeft w:val="0"/>
          <w:marRight w:val="0"/>
          <w:marTop w:val="0"/>
          <w:marBottom w:val="0"/>
          <w:divBdr>
            <w:top w:val="none" w:sz="0" w:space="0" w:color="auto"/>
            <w:left w:val="none" w:sz="0" w:space="0" w:color="auto"/>
            <w:bottom w:val="none" w:sz="0" w:space="0" w:color="auto"/>
            <w:right w:val="none" w:sz="0" w:space="0" w:color="auto"/>
          </w:divBdr>
          <w:divsChild>
            <w:div w:id="1371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4651">
      <w:bodyDiv w:val="1"/>
      <w:marLeft w:val="0"/>
      <w:marRight w:val="0"/>
      <w:marTop w:val="0"/>
      <w:marBottom w:val="0"/>
      <w:divBdr>
        <w:top w:val="none" w:sz="0" w:space="0" w:color="auto"/>
        <w:left w:val="none" w:sz="0" w:space="0" w:color="auto"/>
        <w:bottom w:val="none" w:sz="0" w:space="0" w:color="auto"/>
        <w:right w:val="none" w:sz="0" w:space="0" w:color="auto"/>
      </w:divBdr>
    </w:div>
    <w:div w:id="1266352300">
      <w:bodyDiv w:val="1"/>
      <w:marLeft w:val="0"/>
      <w:marRight w:val="0"/>
      <w:marTop w:val="0"/>
      <w:marBottom w:val="0"/>
      <w:divBdr>
        <w:top w:val="none" w:sz="0" w:space="0" w:color="auto"/>
        <w:left w:val="none" w:sz="0" w:space="0" w:color="auto"/>
        <w:bottom w:val="none" w:sz="0" w:space="0" w:color="auto"/>
        <w:right w:val="none" w:sz="0" w:space="0" w:color="auto"/>
      </w:divBdr>
    </w:div>
    <w:div w:id="1315529141">
      <w:bodyDiv w:val="1"/>
      <w:marLeft w:val="0"/>
      <w:marRight w:val="0"/>
      <w:marTop w:val="0"/>
      <w:marBottom w:val="0"/>
      <w:divBdr>
        <w:top w:val="none" w:sz="0" w:space="0" w:color="auto"/>
        <w:left w:val="none" w:sz="0" w:space="0" w:color="auto"/>
        <w:bottom w:val="none" w:sz="0" w:space="0" w:color="auto"/>
        <w:right w:val="none" w:sz="0" w:space="0" w:color="auto"/>
      </w:divBdr>
    </w:div>
    <w:div w:id="1534806879">
      <w:bodyDiv w:val="1"/>
      <w:marLeft w:val="0"/>
      <w:marRight w:val="0"/>
      <w:marTop w:val="0"/>
      <w:marBottom w:val="0"/>
      <w:divBdr>
        <w:top w:val="none" w:sz="0" w:space="0" w:color="auto"/>
        <w:left w:val="none" w:sz="0" w:space="0" w:color="auto"/>
        <w:bottom w:val="none" w:sz="0" w:space="0" w:color="auto"/>
        <w:right w:val="none" w:sz="0" w:space="0" w:color="auto"/>
      </w:divBdr>
      <w:divsChild>
        <w:div w:id="1805464842">
          <w:marLeft w:val="864"/>
          <w:marRight w:val="0"/>
          <w:marTop w:val="154"/>
          <w:marBottom w:val="0"/>
          <w:divBdr>
            <w:top w:val="none" w:sz="0" w:space="0" w:color="auto"/>
            <w:left w:val="none" w:sz="0" w:space="0" w:color="auto"/>
            <w:bottom w:val="none" w:sz="0" w:space="0" w:color="auto"/>
            <w:right w:val="none" w:sz="0" w:space="0" w:color="auto"/>
          </w:divBdr>
        </w:div>
        <w:div w:id="246351905">
          <w:marLeft w:val="864"/>
          <w:marRight w:val="0"/>
          <w:marTop w:val="154"/>
          <w:marBottom w:val="0"/>
          <w:divBdr>
            <w:top w:val="none" w:sz="0" w:space="0" w:color="auto"/>
            <w:left w:val="none" w:sz="0" w:space="0" w:color="auto"/>
            <w:bottom w:val="none" w:sz="0" w:space="0" w:color="auto"/>
            <w:right w:val="none" w:sz="0" w:space="0" w:color="auto"/>
          </w:divBdr>
        </w:div>
      </w:divsChild>
    </w:div>
    <w:div w:id="1917085075">
      <w:bodyDiv w:val="1"/>
      <w:marLeft w:val="0"/>
      <w:marRight w:val="0"/>
      <w:marTop w:val="0"/>
      <w:marBottom w:val="0"/>
      <w:divBdr>
        <w:top w:val="none" w:sz="0" w:space="0" w:color="auto"/>
        <w:left w:val="none" w:sz="0" w:space="0" w:color="auto"/>
        <w:bottom w:val="none" w:sz="0" w:space="0" w:color="auto"/>
        <w:right w:val="none" w:sz="0" w:space="0" w:color="auto"/>
      </w:divBdr>
      <w:divsChild>
        <w:div w:id="1137144850">
          <w:marLeft w:val="0"/>
          <w:marRight w:val="0"/>
          <w:marTop w:val="0"/>
          <w:marBottom w:val="0"/>
          <w:divBdr>
            <w:top w:val="none" w:sz="0" w:space="0" w:color="auto"/>
            <w:left w:val="none" w:sz="0" w:space="0" w:color="auto"/>
            <w:bottom w:val="none" w:sz="0" w:space="0" w:color="auto"/>
            <w:right w:val="none" w:sz="0" w:space="0" w:color="auto"/>
          </w:divBdr>
          <w:divsChild>
            <w:div w:id="2015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MKT 405</vt:lpstr>
    </vt:vector>
  </TitlesOfParts>
  <Company>Argo Consulting Group, Inc</Company>
  <LinksUpToDate>false</LinksUpToDate>
  <CharactersWithSpaces>6382</CharactersWithSpaces>
  <SharedDoc>false</SharedDoc>
  <HLinks>
    <vt:vector size="6" baseType="variant">
      <vt:variant>
        <vt:i4>7602233</vt:i4>
      </vt:variant>
      <vt:variant>
        <vt:i4>0</vt:i4>
      </vt:variant>
      <vt:variant>
        <vt:i4>0</vt:i4>
      </vt:variant>
      <vt:variant>
        <vt:i4>5</vt:i4>
      </vt:variant>
      <vt:variant>
        <vt:lpwstr>http://uwbs.blackboard.com/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405</dc:title>
  <dc:creator>Hari Sridhar</dc:creator>
  <cp:lastModifiedBy>Sridhar, Shrihari</cp:lastModifiedBy>
  <cp:revision>11</cp:revision>
  <cp:lastPrinted>2016-08-27T00:58:00Z</cp:lastPrinted>
  <dcterms:created xsi:type="dcterms:W3CDTF">2017-01-09T16:26:00Z</dcterms:created>
  <dcterms:modified xsi:type="dcterms:W3CDTF">2017-01-09T16:55:00Z</dcterms:modified>
</cp:coreProperties>
</file>